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BC971" w14:textId="08E5937F" w:rsidR="002D7D58" w:rsidRPr="009C187D" w:rsidRDefault="00E07A57" w:rsidP="002D7D58">
      <w:pPr>
        <w:spacing w:line="240" w:lineRule="auto"/>
        <w:contextualSpacing/>
        <w:rPr>
          <w:b/>
          <w:sz w:val="24"/>
          <w:szCs w:val="24"/>
        </w:rPr>
      </w:pPr>
      <w:r w:rsidRPr="009C187D">
        <w:rPr>
          <w:b/>
          <w:sz w:val="24"/>
          <w:szCs w:val="24"/>
        </w:rPr>
        <w:t>I</w:t>
      </w:r>
      <w:r w:rsidR="00E1431C" w:rsidRPr="009C187D">
        <w:rPr>
          <w:b/>
          <w:sz w:val="24"/>
          <w:szCs w:val="24"/>
        </w:rPr>
        <w:t>C. Program Mission Statement</w:t>
      </w:r>
    </w:p>
    <w:p w14:paraId="41ABE14C" w14:textId="77777777" w:rsidR="00134474" w:rsidRPr="00FE56AA" w:rsidRDefault="00E1431C" w:rsidP="002D7D58">
      <w:pPr>
        <w:spacing w:line="240" w:lineRule="auto"/>
        <w:contextualSpacing/>
        <w:rPr>
          <w:b/>
        </w:rPr>
      </w:pPr>
      <w:r w:rsidRPr="00FE56AA">
        <w:rPr>
          <w:b/>
        </w:rPr>
        <w:tab/>
      </w:r>
    </w:p>
    <w:p w14:paraId="79EEF400" w14:textId="77777777" w:rsidR="003576B2" w:rsidRDefault="00E1431C" w:rsidP="002D7D58">
      <w:pPr>
        <w:spacing w:line="240" w:lineRule="auto"/>
        <w:contextualSpacing/>
      </w:pPr>
      <w:r w:rsidRPr="005B378E">
        <w:t xml:space="preserve">Taft College Library is dedicated to </w:t>
      </w:r>
      <w:r w:rsidR="003576B2">
        <w:t xml:space="preserve">serving the needs of our students, faculty, staff, and community patrons by striving to meet the following goals: </w:t>
      </w:r>
    </w:p>
    <w:p w14:paraId="5F13AA92" w14:textId="77777777" w:rsidR="003576B2" w:rsidRDefault="003576B2" w:rsidP="002D7D58">
      <w:pPr>
        <w:pStyle w:val="ListParagraph"/>
        <w:numPr>
          <w:ilvl w:val="0"/>
          <w:numId w:val="1"/>
        </w:numPr>
        <w:spacing w:line="240" w:lineRule="auto"/>
        <w:ind w:firstLine="0"/>
      </w:pPr>
      <w:r>
        <w:t>Maintaining a diverse collection of materials to support the academic and vocational needs of our student body</w:t>
      </w:r>
    </w:p>
    <w:p w14:paraId="10838593" w14:textId="77777777" w:rsidR="003576B2" w:rsidRDefault="003576B2" w:rsidP="002D7D58">
      <w:pPr>
        <w:pStyle w:val="ListParagraph"/>
        <w:numPr>
          <w:ilvl w:val="0"/>
          <w:numId w:val="1"/>
        </w:numPr>
        <w:spacing w:line="240" w:lineRule="auto"/>
        <w:ind w:firstLine="0"/>
      </w:pPr>
      <w:r>
        <w:t>Helping students develop skills essential to academic and occupational success by promoting information competency and critical thinking</w:t>
      </w:r>
    </w:p>
    <w:p w14:paraId="20A80669" w14:textId="77777777" w:rsidR="003576B2" w:rsidRDefault="003576B2" w:rsidP="002D7D58">
      <w:pPr>
        <w:pStyle w:val="ListParagraph"/>
        <w:numPr>
          <w:ilvl w:val="0"/>
          <w:numId w:val="1"/>
        </w:numPr>
        <w:spacing w:line="240" w:lineRule="auto"/>
        <w:ind w:firstLine="0"/>
      </w:pPr>
      <w:r>
        <w:t>Working with the faculty to ensure knowledge of the library’s services and resources and providing training and support to incorporate them into curriculum</w:t>
      </w:r>
    </w:p>
    <w:p w14:paraId="690AB1D9" w14:textId="77777777" w:rsidR="003576B2" w:rsidRDefault="003576B2" w:rsidP="002D7D58">
      <w:pPr>
        <w:pStyle w:val="ListParagraph"/>
        <w:numPr>
          <w:ilvl w:val="0"/>
          <w:numId w:val="1"/>
        </w:numPr>
        <w:spacing w:line="240" w:lineRule="auto"/>
        <w:ind w:firstLine="0"/>
      </w:pPr>
      <w:r>
        <w:t>Serving the diverse needs of all library patrons, including remote learners and those with special needs</w:t>
      </w:r>
    </w:p>
    <w:p w14:paraId="5A55CB84" w14:textId="77777777" w:rsidR="003576B2" w:rsidRDefault="003576B2" w:rsidP="002D7D58">
      <w:pPr>
        <w:pStyle w:val="ListParagraph"/>
        <w:numPr>
          <w:ilvl w:val="0"/>
          <w:numId w:val="1"/>
        </w:numPr>
        <w:spacing w:line="240" w:lineRule="auto"/>
        <w:ind w:firstLine="0"/>
      </w:pPr>
      <w:r>
        <w:t>Responding to changing technologies by providing resources in a variety of formats, both print and electronic, and maintaining a knowledgeable and skilled staff</w:t>
      </w:r>
    </w:p>
    <w:p w14:paraId="286D6032" w14:textId="77777777" w:rsidR="003576B2" w:rsidRDefault="003576B2" w:rsidP="002D7D58">
      <w:pPr>
        <w:pStyle w:val="ListParagraph"/>
        <w:numPr>
          <w:ilvl w:val="0"/>
          <w:numId w:val="1"/>
        </w:numPr>
        <w:spacing w:line="240" w:lineRule="auto"/>
        <w:ind w:firstLine="0"/>
      </w:pPr>
      <w:r>
        <w:t>Promoting lifelong learning and the value of the library in the campus environment</w:t>
      </w:r>
    </w:p>
    <w:p w14:paraId="07101E75" w14:textId="77777777" w:rsidR="00E1431C" w:rsidRDefault="003576B2" w:rsidP="002D7D58">
      <w:pPr>
        <w:spacing w:line="240" w:lineRule="auto"/>
        <w:contextualSpacing/>
        <w:rPr>
          <w:b/>
        </w:rPr>
      </w:pPr>
      <w:r w:rsidRPr="00FE56AA">
        <w:rPr>
          <w:b/>
        </w:rPr>
        <w:t>ID</w:t>
      </w:r>
      <w:r w:rsidR="00277080" w:rsidRPr="00FE56AA">
        <w:rPr>
          <w:b/>
        </w:rPr>
        <w:t>.</w:t>
      </w:r>
      <w:r w:rsidR="00FE56AA" w:rsidRPr="00FE56AA">
        <w:rPr>
          <w:b/>
        </w:rPr>
        <w:t xml:space="preserve"> Program S</w:t>
      </w:r>
      <w:r w:rsidRPr="00FE56AA">
        <w:rPr>
          <w:b/>
        </w:rPr>
        <w:t>ummary</w:t>
      </w:r>
    </w:p>
    <w:p w14:paraId="106D1C23" w14:textId="77777777" w:rsidR="002D7D58" w:rsidRPr="00FE56AA" w:rsidRDefault="002D7D58" w:rsidP="002D7D58">
      <w:pPr>
        <w:spacing w:line="240" w:lineRule="auto"/>
        <w:contextualSpacing/>
        <w:rPr>
          <w:b/>
        </w:rPr>
      </w:pPr>
    </w:p>
    <w:p w14:paraId="756B4679" w14:textId="02D9D3EA" w:rsidR="006C175C" w:rsidRDefault="003576B2" w:rsidP="002D7D58">
      <w:pPr>
        <w:spacing w:line="240" w:lineRule="auto"/>
        <w:contextualSpacing/>
      </w:pPr>
      <w:r>
        <w:t>The library supports instruction in the form of a standalone course, Information Competency and Bibliog</w:t>
      </w:r>
      <w:r w:rsidR="006C175C">
        <w:t xml:space="preserve">raphy (INCO 1048), </w:t>
      </w:r>
      <w:r w:rsidR="00FD6A62">
        <w:t xml:space="preserve">a one-unit local graduation requirement taught online and </w:t>
      </w:r>
      <w:r w:rsidR="0052255D">
        <w:t>face to face</w:t>
      </w:r>
      <w:r w:rsidR="00FD6A62">
        <w:t xml:space="preserve"> by instructors with an MLIS degree. </w:t>
      </w:r>
      <w:r w:rsidR="00C938FB">
        <w:t xml:space="preserve">INCO 1048 will become LIBR 1548 in fall 2022 and the course will be transferable to UCs and CSUs. </w:t>
      </w:r>
      <w:r w:rsidR="00FD6A62">
        <w:t>L</w:t>
      </w:r>
      <w:r w:rsidR="006C175C">
        <w:t>ibrarian-led</w:t>
      </w:r>
      <w:r>
        <w:t xml:space="preserve"> workshops and orientations </w:t>
      </w:r>
      <w:r w:rsidR="00FD6A62">
        <w:t xml:space="preserve">are held for </w:t>
      </w:r>
      <w:r>
        <w:t xml:space="preserve">classes upon the request of faculty, and individual reference encounters </w:t>
      </w:r>
      <w:r w:rsidR="00FD6A62">
        <w:t>are conducted by library faculty and staff</w:t>
      </w:r>
      <w:r>
        <w:t>.</w:t>
      </w:r>
      <w:r w:rsidR="00475D74">
        <w:t xml:space="preserve"> </w:t>
      </w:r>
      <w:r w:rsidR="00701D7F">
        <w:t xml:space="preserve"> </w:t>
      </w:r>
      <w:r w:rsidR="006C175C">
        <w:t>The library provides access to desktop and laptop computers,</w:t>
      </w:r>
      <w:r w:rsidR="00A3658C">
        <w:t xml:space="preserve"> photocopying and scanning, audio and visual materials, headphones</w:t>
      </w:r>
      <w:r w:rsidR="00475D74">
        <w:t>,</w:t>
      </w:r>
      <w:r w:rsidR="00A3658C">
        <w:t xml:space="preserve"> and </w:t>
      </w:r>
      <w:r w:rsidR="00277080">
        <w:t xml:space="preserve">interlibrary loans. </w:t>
      </w:r>
      <w:r w:rsidR="00A3658C">
        <w:t xml:space="preserve">Seating is provided for individual and group study, including five </w:t>
      </w:r>
      <w:r w:rsidR="00475D74">
        <w:t xml:space="preserve">group </w:t>
      </w:r>
      <w:r w:rsidR="00A3658C">
        <w:t>study rooms.</w:t>
      </w:r>
      <w:r w:rsidR="006C175C">
        <w:t xml:space="preserve"> </w:t>
      </w:r>
    </w:p>
    <w:p w14:paraId="78C2F816" w14:textId="77777777" w:rsidR="00E07A57" w:rsidRDefault="00E07A57" w:rsidP="002D7D58">
      <w:pPr>
        <w:spacing w:line="240" w:lineRule="auto"/>
        <w:contextualSpacing/>
      </w:pPr>
    </w:p>
    <w:p w14:paraId="2F7B8DB0" w14:textId="6AB45222" w:rsidR="003E7B5D" w:rsidRPr="00E07A57" w:rsidRDefault="00AE3B9A" w:rsidP="002D7D58">
      <w:pPr>
        <w:spacing w:line="240" w:lineRule="auto"/>
        <w:contextualSpacing/>
        <w:rPr>
          <w:b/>
          <w:bCs/>
        </w:rPr>
      </w:pPr>
      <w:r w:rsidRPr="00E07A57">
        <w:rPr>
          <w:b/>
          <w:bCs/>
        </w:rPr>
        <w:t xml:space="preserve">Program </w:t>
      </w:r>
      <w:r w:rsidR="003E7B5D" w:rsidRPr="00E07A57">
        <w:rPr>
          <w:b/>
          <w:bCs/>
        </w:rPr>
        <w:t>Student Learning Objectives</w:t>
      </w:r>
    </w:p>
    <w:p w14:paraId="22BFE328" w14:textId="77777777" w:rsidR="00E07A57" w:rsidRDefault="00E07A57" w:rsidP="002D7D58">
      <w:pPr>
        <w:spacing w:line="240" w:lineRule="auto"/>
        <w:contextualSpacing/>
      </w:pPr>
    </w:p>
    <w:p w14:paraId="31F76AFC" w14:textId="77777777" w:rsidR="003E7B5D" w:rsidRPr="003E7B5D" w:rsidRDefault="003E7B5D" w:rsidP="002D7D58">
      <w:pPr>
        <w:spacing w:before="100" w:beforeAutospacing="1" w:after="100" w:afterAutospacing="1" w:line="240" w:lineRule="auto"/>
        <w:contextualSpacing/>
        <w:rPr>
          <w:rFonts w:eastAsia="Times New Roman" w:cs="Times New Roman"/>
        </w:rPr>
      </w:pPr>
      <w:r>
        <w:rPr>
          <w:rFonts w:eastAsia="Times New Roman" w:cs="Times New Roman"/>
          <w:bCs/>
        </w:rPr>
        <w:t>In accordance with the GE SLO—Communication and Analytical Thinking, t</w:t>
      </w:r>
      <w:r w:rsidRPr="003E7B5D">
        <w:rPr>
          <w:rFonts w:eastAsia="Times New Roman" w:cs="Times New Roman"/>
          <w:bCs/>
        </w:rPr>
        <w:t>he Library provides opportunities for students to learn how to use information effectively.</w:t>
      </w:r>
      <w:r>
        <w:rPr>
          <w:rFonts w:eastAsia="Times New Roman" w:cs="Times New Roman"/>
          <w:bCs/>
        </w:rPr>
        <w:t xml:space="preserve"> </w:t>
      </w:r>
      <w:r>
        <w:rPr>
          <w:rFonts w:eastAsia="Times New Roman" w:cs="Times New Roman"/>
          <w:iCs/>
        </w:rPr>
        <w:t>INCO 1048</w:t>
      </w:r>
      <w:r w:rsidRPr="003E7B5D">
        <w:rPr>
          <w:rFonts w:eastAsia="Times New Roman" w:cs="Times New Roman"/>
          <w:iCs/>
        </w:rPr>
        <w:t xml:space="preserve">, </w:t>
      </w:r>
      <w:r w:rsidR="007A3348">
        <w:rPr>
          <w:rFonts w:eastAsia="Times New Roman" w:cs="Times New Roman"/>
          <w:iCs/>
        </w:rPr>
        <w:t xml:space="preserve">class workshops, </w:t>
      </w:r>
      <w:r>
        <w:rPr>
          <w:rFonts w:eastAsia="Times New Roman" w:cs="Times New Roman"/>
          <w:iCs/>
        </w:rPr>
        <w:t xml:space="preserve">orientations, </w:t>
      </w:r>
      <w:r w:rsidRPr="003E7B5D">
        <w:rPr>
          <w:rFonts w:eastAsia="Times New Roman" w:cs="Times New Roman"/>
          <w:iCs/>
        </w:rPr>
        <w:t>reference services</w:t>
      </w:r>
      <w:r w:rsidR="007A3348">
        <w:rPr>
          <w:rFonts w:eastAsia="Times New Roman" w:cs="Times New Roman"/>
          <w:iCs/>
        </w:rPr>
        <w:t>,</w:t>
      </w:r>
      <w:r w:rsidRPr="003E7B5D">
        <w:rPr>
          <w:rFonts w:eastAsia="Times New Roman" w:cs="Times New Roman"/>
          <w:iCs/>
        </w:rPr>
        <w:t xml:space="preserve"> and exposure to Library resources gives students the knowledge and skills to:</w:t>
      </w:r>
    </w:p>
    <w:p w14:paraId="7BD01B69" w14:textId="77777777" w:rsidR="003E7B5D" w:rsidRPr="003E7B5D" w:rsidRDefault="003E7B5D" w:rsidP="002D7D58">
      <w:pPr>
        <w:pStyle w:val="ListParagraph"/>
        <w:numPr>
          <w:ilvl w:val="0"/>
          <w:numId w:val="4"/>
        </w:numPr>
        <w:spacing w:before="100" w:beforeAutospacing="1" w:after="100" w:afterAutospacing="1" w:line="240" w:lineRule="auto"/>
        <w:ind w:firstLine="0"/>
        <w:rPr>
          <w:rFonts w:ascii="Calibri" w:hAnsi="Calibri" w:cs="Comic Sans MS"/>
          <w:bCs/>
        </w:rPr>
      </w:pPr>
      <w:r w:rsidRPr="003E7B5D">
        <w:rPr>
          <w:rFonts w:ascii="Calibri" w:hAnsi="Calibri" w:cs="Comic Sans MS"/>
          <w:bCs/>
        </w:rPr>
        <w:t>Demonstrate the ability to find, evaluate and use appropriate information sources to answer an information need.</w:t>
      </w:r>
    </w:p>
    <w:p w14:paraId="79B8917D" w14:textId="0BB5D8DD" w:rsidR="00FE56AA" w:rsidRDefault="003E7B5D" w:rsidP="002D7D58">
      <w:pPr>
        <w:spacing w:before="100" w:beforeAutospacing="1" w:after="100" w:afterAutospacing="1" w:line="240" w:lineRule="auto"/>
        <w:contextualSpacing/>
        <w:rPr>
          <w:rFonts w:eastAsia="Times New Roman" w:cs="Times New Roman"/>
          <w:bCs/>
        </w:rPr>
      </w:pPr>
      <w:r w:rsidRPr="003E7B5D">
        <w:rPr>
          <w:rFonts w:eastAsia="Times New Roman" w:cs="Times New Roman"/>
          <w:bCs/>
        </w:rPr>
        <w:t xml:space="preserve">The </w:t>
      </w:r>
      <w:r w:rsidR="00475D74" w:rsidRPr="003E7B5D">
        <w:rPr>
          <w:rFonts w:eastAsia="Times New Roman" w:cs="Times New Roman"/>
          <w:bCs/>
        </w:rPr>
        <w:t>library’s</w:t>
      </w:r>
      <w:r w:rsidRPr="003E7B5D">
        <w:rPr>
          <w:rFonts w:eastAsia="Times New Roman" w:cs="Times New Roman"/>
          <w:bCs/>
        </w:rPr>
        <w:t xml:space="preserve"> success is measured by:</w:t>
      </w:r>
    </w:p>
    <w:p w14:paraId="38B25C7A" w14:textId="77777777" w:rsidR="00FE56AA" w:rsidRPr="003E7B5D" w:rsidRDefault="00FE56AA" w:rsidP="002D7D58">
      <w:pPr>
        <w:spacing w:before="100" w:beforeAutospacing="1" w:after="100" w:afterAutospacing="1" w:line="240" w:lineRule="auto"/>
        <w:contextualSpacing/>
        <w:rPr>
          <w:rFonts w:eastAsia="Times New Roman" w:cs="Times New Roman"/>
          <w:bCs/>
        </w:rPr>
      </w:pPr>
    </w:p>
    <w:p w14:paraId="2D9275BC" w14:textId="77777777" w:rsidR="003E7B5D" w:rsidRDefault="00DE2778" w:rsidP="002D7D58">
      <w:pPr>
        <w:numPr>
          <w:ilvl w:val="0"/>
          <w:numId w:val="3"/>
        </w:numPr>
        <w:spacing w:before="100" w:beforeAutospacing="1" w:after="100" w:afterAutospacing="1" w:line="240" w:lineRule="auto"/>
        <w:ind w:firstLine="0"/>
        <w:contextualSpacing/>
        <w:rPr>
          <w:rFonts w:eastAsia="Times New Roman" w:cs="Times New Roman"/>
        </w:rPr>
      </w:pPr>
      <w:r>
        <w:rPr>
          <w:rFonts w:eastAsia="Times New Roman" w:cs="Times New Roman"/>
        </w:rPr>
        <w:t>C</w:t>
      </w:r>
      <w:r w:rsidR="003E7B5D" w:rsidRPr="003E7B5D">
        <w:rPr>
          <w:rFonts w:eastAsia="Times New Roman" w:cs="Times New Roman"/>
        </w:rPr>
        <w:t xml:space="preserve">irculation </w:t>
      </w:r>
      <w:r>
        <w:rPr>
          <w:rFonts w:eastAsia="Times New Roman" w:cs="Times New Roman"/>
        </w:rPr>
        <w:t xml:space="preserve">statistics </w:t>
      </w:r>
      <w:r w:rsidR="003E7B5D" w:rsidRPr="003E7B5D">
        <w:rPr>
          <w:rFonts w:eastAsia="Times New Roman" w:cs="Times New Roman"/>
        </w:rPr>
        <w:t>of print resources</w:t>
      </w:r>
    </w:p>
    <w:p w14:paraId="66BB76B9" w14:textId="77777777" w:rsidR="003E7B5D" w:rsidRPr="003E7B5D" w:rsidRDefault="003E7B5D" w:rsidP="002D7D58">
      <w:pPr>
        <w:numPr>
          <w:ilvl w:val="0"/>
          <w:numId w:val="3"/>
        </w:numPr>
        <w:spacing w:before="100" w:beforeAutospacing="1" w:after="100" w:afterAutospacing="1" w:line="240" w:lineRule="auto"/>
        <w:ind w:firstLine="0"/>
        <w:contextualSpacing/>
        <w:rPr>
          <w:rFonts w:eastAsia="Times New Roman" w:cs="Times New Roman"/>
        </w:rPr>
      </w:pPr>
      <w:r>
        <w:rPr>
          <w:rFonts w:eastAsia="Times New Roman" w:cs="Times New Roman"/>
        </w:rPr>
        <w:t>Database usage statistics</w:t>
      </w:r>
    </w:p>
    <w:p w14:paraId="40C697B6" w14:textId="77777777" w:rsidR="003E7B5D" w:rsidRDefault="007A3348" w:rsidP="002D7D58">
      <w:pPr>
        <w:numPr>
          <w:ilvl w:val="0"/>
          <w:numId w:val="3"/>
        </w:numPr>
        <w:spacing w:before="100" w:beforeAutospacing="1" w:after="100" w:afterAutospacing="1" w:line="240" w:lineRule="auto"/>
        <w:ind w:firstLine="0"/>
        <w:contextualSpacing/>
        <w:rPr>
          <w:rFonts w:eastAsia="Times New Roman" w:cs="Times New Roman"/>
        </w:rPr>
      </w:pPr>
      <w:r>
        <w:rPr>
          <w:rFonts w:eastAsia="Times New Roman" w:cs="Times New Roman"/>
        </w:rPr>
        <w:t>Information Competency and Bibliography completion rates and SLO data</w:t>
      </w:r>
    </w:p>
    <w:p w14:paraId="1DB6E84D" w14:textId="77777777" w:rsidR="00FE74A9" w:rsidRDefault="00FE74A9" w:rsidP="002D7D58">
      <w:pPr>
        <w:numPr>
          <w:ilvl w:val="0"/>
          <w:numId w:val="3"/>
        </w:numPr>
        <w:spacing w:before="100" w:beforeAutospacing="1" w:after="100" w:afterAutospacing="1" w:line="240" w:lineRule="auto"/>
        <w:ind w:firstLine="0"/>
        <w:contextualSpacing/>
        <w:rPr>
          <w:rFonts w:eastAsia="Times New Roman" w:cs="Times New Roman"/>
        </w:rPr>
      </w:pPr>
      <w:r>
        <w:rPr>
          <w:rFonts w:eastAsia="Times New Roman" w:cs="Times New Roman"/>
        </w:rPr>
        <w:t xml:space="preserve">Reference interview </w:t>
      </w:r>
      <w:r w:rsidR="00DE2778">
        <w:rPr>
          <w:rFonts w:eastAsia="Times New Roman" w:cs="Times New Roman"/>
        </w:rPr>
        <w:t>data</w:t>
      </w:r>
    </w:p>
    <w:p w14:paraId="0CFA9AE2" w14:textId="77777777" w:rsidR="00FE56AA" w:rsidRDefault="00DE2778" w:rsidP="002D7D58">
      <w:pPr>
        <w:numPr>
          <w:ilvl w:val="0"/>
          <w:numId w:val="3"/>
        </w:numPr>
        <w:spacing w:before="100" w:beforeAutospacing="1" w:after="100" w:afterAutospacing="1" w:line="240" w:lineRule="auto"/>
        <w:ind w:firstLine="0"/>
        <w:contextualSpacing/>
        <w:rPr>
          <w:rFonts w:eastAsia="Times New Roman" w:cs="Times New Roman"/>
        </w:rPr>
      </w:pPr>
      <w:r>
        <w:rPr>
          <w:rFonts w:eastAsia="Times New Roman" w:cs="Times New Roman"/>
        </w:rPr>
        <w:t xml:space="preserve">Student assessment of </w:t>
      </w:r>
      <w:r w:rsidR="00FE56AA">
        <w:rPr>
          <w:rFonts w:eastAsia="Times New Roman" w:cs="Times New Roman"/>
        </w:rPr>
        <w:t xml:space="preserve">Orientation/Workshop </w:t>
      </w:r>
    </w:p>
    <w:p w14:paraId="05147977" w14:textId="77777777" w:rsidR="00DE2778" w:rsidRPr="003E7B5D" w:rsidRDefault="00DE2778" w:rsidP="002D7D58">
      <w:pPr>
        <w:numPr>
          <w:ilvl w:val="0"/>
          <w:numId w:val="3"/>
        </w:numPr>
        <w:spacing w:before="100" w:beforeAutospacing="1" w:after="100" w:afterAutospacing="1" w:line="240" w:lineRule="auto"/>
        <w:ind w:firstLine="0"/>
        <w:contextualSpacing/>
        <w:rPr>
          <w:rFonts w:eastAsia="Times New Roman" w:cs="Times New Roman"/>
        </w:rPr>
      </w:pPr>
      <w:r>
        <w:rPr>
          <w:rFonts w:eastAsia="Times New Roman" w:cs="Times New Roman"/>
        </w:rPr>
        <w:t xml:space="preserve">Student </w:t>
      </w:r>
      <w:r w:rsidR="00160014">
        <w:rPr>
          <w:rFonts w:eastAsia="Times New Roman" w:cs="Times New Roman"/>
        </w:rPr>
        <w:t xml:space="preserve">&amp; faculty </w:t>
      </w:r>
      <w:r>
        <w:rPr>
          <w:rFonts w:eastAsia="Times New Roman" w:cs="Times New Roman"/>
        </w:rPr>
        <w:t>surv</w:t>
      </w:r>
      <w:r w:rsidR="00160014">
        <w:rPr>
          <w:rFonts w:eastAsia="Times New Roman" w:cs="Times New Roman"/>
        </w:rPr>
        <w:t xml:space="preserve">eys </w:t>
      </w:r>
      <w:r>
        <w:rPr>
          <w:rFonts w:eastAsia="Times New Roman" w:cs="Times New Roman"/>
        </w:rPr>
        <w:t>of library services</w:t>
      </w:r>
    </w:p>
    <w:p w14:paraId="7D8487E5" w14:textId="77777777" w:rsidR="002D7D58" w:rsidRDefault="002D7D58" w:rsidP="002D7D58">
      <w:pPr>
        <w:spacing w:line="240" w:lineRule="auto"/>
        <w:contextualSpacing/>
        <w:rPr>
          <w:b/>
        </w:rPr>
      </w:pPr>
    </w:p>
    <w:p w14:paraId="605E48D6" w14:textId="10658A06" w:rsidR="00E068B6" w:rsidRDefault="00E068B6" w:rsidP="002D7D58">
      <w:pPr>
        <w:spacing w:line="240" w:lineRule="auto"/>
        <w:contextualSpacing/>
        <w:rPr>
          <w:b/>
        </w:rPr>
      </w:pPr>
      <w:r w:rsidRPr="00316BDD">
        <w:rPr>
          <w:b/>
        </w:rPr>
        <w:t xml:space="preserve">IIA. Present the </w:t>
      </w:r>
      <w:r w:rsidR="009C187D">
        <w:rPr>
          <w:b/>
        </w:rPr>
        <w:t>R</w:t>
      </w:r>
      <w:r w:rsidRPr="00316BDD">
        <w:rPr>
          <w:b/>
        </w:rPr>
        <w:t>esults</w:t>
      </w:r>
    </w:p>
    <w:p w14:paraId="1C1D2245" w14:textId="77777777" w:rsidR="002D7D58" w:rsidRPr="00316BDD" w:rsidRDefault="002D7D58" w:rsidP="002D7D58">
      <w:pPr>
        <w:spacing w:line="240" w:lineRule="auto"/>
        <w:contextualSpacing/>
        <w:rPr>
          <w:b/>
        </w:rPr>
      </w:pPr>
    </w:p>
    <w:p w14:paraId="769E72D0" w14:textId="18F0E0A2" w:rsidR="007D4685" w:rsidRPr="008A7483" w:rsidRDefault="007D4685" w:rsidP="007D4685">
      <w:pPr>
        <w:spacing w:line="240" w:lineRule="auto"/>
        <w:contextualSpacing/>
        <w:rPr>
          <w:b/>
          <w:bCs/>
        </w:rPr>
      </w:pPr>
      <w:r w:rsidRPr="008A7483">
        <w:rPr>
          <w:b/>
          <w:bCs/>
        </w:rPr>
        <w:t xml:space="preserve">Impact of COVID 19 </w:t>
      </w:r>
      <w:r>
        <w:rPr>
          <w:b/>
          <w:bCs/>
        </w:rPr>
        <w:t>-- Fall</w:t>
      </w:r>
      <w:r w:rsidRPr="008A7483">
        <w:rPr>
          <w:b/>
          <w:bCs/>
        </w:rPr>
        <w:t xml:space="preserve"> 202</w:t>
      </w:r>
      <w:r w:rsidR="0041246A">
        <w:rPr>
          <w:b/>
          <w:bCs/>
        </w:rPr>
        <w:t>1</w:t>
      </w:r>
      <w:r>
        <w:rPr>
          <w:b/>
          <w:bCs/>
        </w:rPr>
        <w:t xml:space="preserve"> – Spring 202</w:t>
      </w:r>
      <w:r w:rsidR="0041246A">
        <w:rPr>
          <w:b/>
          <w:bCs/>
        </w:rPr>
        <w:t>2</w:t>
      </w:r>
    </w:p>
    <w:p w14:paraId="4439C098" w14:textId="77777777" w:rsidR="007D4685" w:rsidRDefault="007D4685" w:rsidP="002F7401">
      <w:pPr>
        <w:spacing w:line="240" w:lineRule="auto"/>
        <w:contextualSpacing/>
        <w:rPr>
          <w:b/>
        </w:rPr>
      </w:pPr>
    </w:p>
    <w:p w14:paraId="62CF2ACA" w14:textId="470AF026" w:rsidR="00162D0F" w:rsidRPr="00162D0F" w:rsidRDefault="00162D0F" w:rsidP="002D7D58">
      <w:pPr>
        <w:spacing w:line="240" w:lineRule="auto"/>
        <w:contextualSpacing/>
        <w:rPr>
          <w:b/>
          <w:bCs/>
        </w:rPr>
      </w:pPr>
      <w:r w:rsidRPr="00162D0F">
        <w:rPr>
          <w:b/>
          <w:bCs/>
        </w:rPr>
        <w:t>Staffing</w:t>
      </w:r>
    </w:p>
    <w:p w14:paraId="41844585" w14:textId="77777777" w:rsidR="00162D0F" w:rsidRDefault="00162D0F" w:rsidP="002D7D58">
      <w:pPr>
        <w:spacing w:line="240" w:lineRule="auto"/>
        <w:contextualSpacing/>
      </w:pPr>
    </w:p>
    <w:p w14:paraId="71C78690" w14:textId="458EDFFF" w:rsidR="00410955" w:rsidRDefault="00980BE8" w:rsidP="00410955">
      <w:pPr>
        <w:spacing w:line="240" w:lineRule="auto"/>
        <w:contextualSpacing/>
      </w:pPr>
      <w:r>
        <w:t xml:space="preserve">The librarian position is a tenure track, 12-month, 35-hour week non-teaching faculty member. </w:t>
      </w:r>
      <w:r w:rsidR="00732C88">
        <w:t xml:space="preserve">This position includes supervision of library staff. </w:t>
      </w:r>
      <w:r w:rsidR="003B514A">
        <w:t xml:space="preserve"> Currently, the library consists of 2 full-time classified staff. A full-time classified library technician position </w:t>
      </w:r>
      <w:r w:rsidR="00D32B46">
        <w:t>remains vacant.</w:t>
      </w:r>
      <w:r w:rsidR="003B514A">
        <w:t xml:space="preserve"> </w:t>
      </w:r>
      <w:r w:rsidR="00AE09CF">
        <w:t>There is limited supervision of classified staff when faculty are not present</w:t>
      </w:r>
      <w:r w:rsidR="00410955">
        <w:t>.</w:t>
      </w:r>
    </w:p>
    <w:p w14:paraId="41366641" w14:textId="77777777" w:rsidR="0012694E" w:rsidRDefault="0012694E" w:rsidP="002D7D58">
      <w:pPr>
        <w:spacing w:line="240" w:lineRule="auto"/>
        <w:contextualSpacing/>
      </w:pPr>
    </w:p>
    <w:p w14:paraId="2889F4FC" w14:textId="3CF1CDAD" w:rsidR="0012694E" w:rsidRDefault="00D85933" w:rsidP="002D7D58">
      <w:pPr>
        <w:spacing w:line="240" w:lineRule="auto"/>
        <w:contextualSpacing/>
      </w:pPr>
      <w:r w:rsidRPr="00FB33C7">
        <w:t>The library remains understaffed according to the</w:t>
      </w:r>
      <w:r w:rsidRPr="00FB33C7">
        <w:rPr>
          <w:i/>
        </w:rPr>
        <w:t xml:space="preserve"> Standards of Practice for California Community College Library Faculty and Programs</w:t>
      </w:r>
      <w:r w:rsidRPr="00FB33C7">
        <w:t xml:space="preserve"> (2019)</w:t>
      </w:r>
      <w:r w:rsidR="00162D0F">
        <w:t xml:space="preserve"> and the California Education Code</w:t>
      </w:r>
      <w:r w:rsidR="00F52D88">
        <w:t xml:space="preserve"> Title V (§58724)</w:t>
      </w:r>
      <w:r w:rsidR="0012694E">
        <w:t xml:space="preserve">.  According to the </w:t>
      </w:r>
      <w:r w:rsidR="0012694E" w:rsidRPr="0012694E">
        <w:rPr>
          <w:i/>
          <w:iCs/>
        </w:rPr>
        <w:t>Standards of Practice</w:t>
      </w:r>
      <w:r w:rsidR="0012694E">
        <w:t xml:space="preserve"> and the Education Code, </w:t>
      </w:r>
      <w:r w:rsidR="00383721">
        <w:t>2</w:t>
      </w:r>
      <w:r w:rsidR="00162D0F">
        <w:t xml:space="preserve"> librarians and </w:t>
      </w:r>
      <w:r w:rsidR="00383721">
        <w:t>3</w:t>
      </w:r>
      <w:r w:rsidR="00A739DD">
        <w:t xml:space="preserve"> </w:t>
      </w:r>
      <w:r w:rsidR="00162D0F">
        <w:t xml:space="preserve">support staff </w:t>
      </w:r>
      <w:r w:rsidR="0012694E">
        <w:t xml:space="preserve">are recommended </w:t>
      </w:r>
      <w:r w:rsidR="00162D0F">
        <w:t>for campuses with</w:t>
      </w:r>
      <w:r w:rsidR="00A739DD">
        <w:t xml:space="preserve"> </w:t>
      </w:r>
      <w:r w:rsidR="00383721">
        <w:t xml:space="preserve">fewer than </w:t>
      </w:r>
      <w:r w:rsidR="00A739DD">
        <w:t>1,001</w:t>
      </w:r>
      <w:r w:rsidR="00383721">
        <w:t xml:space="preserve"> </w:t>
      </w:r>
      <w:r w:rsidR="00A739DD">
        <w:t>FTES</w:t>
      </w:r>
      <w:r w:rsidRPr="00FB33C7">
        <w:t>.</w:t>
      </w:r>
      <w:r w:rsidR="00162D0F">
        <w:t xml:space="preserve"> </w:t>
      </w:r>
      <w:r w:rsidR="00383721">
        <w:t>T</w:t>
      </w:r>
      <w:r w:rsidR="0012694E">
        <w:t xml:space="preserve">he Learning Support Division </w:t>
      </w:r>
      <w:r w:rsidR="007D4685">
        <w:t>has</w:t>
      </w:r>
      <w:r w:rsidR="00383721">
        <w:t xml:space="preserve"> not put</w:t>
      </w:r>
      <w:r w:rsidR="0012694E">
        <w:t xml:space="preserve"> forward the position of librarian to the Taft College Academic Senate</w:t>
      </w:r>
      <w:r w:rsidR="00383721">
        <w:t xml:space="preserve"> </w:t>
      </w:r>
      <w:r w:rsidR="003B514A">
        <w:t xml:space="preserve">since 2020. </w:t>
      </w:r>
    </w:p>
    <w:p w14:paraId="3EDCBB8D" w14:textId="77777777" w:rsidR="0012694E" w:rsidRDefault="0012694E" w:rsidP="002D7D58">
      <w:pPr>
        <w:spacing w:line="240" w:lineRule="auto"/>
        <w:contextualSpacing/>
      </w:pPr>
    </w:p>
    <w:p w14:paraId="0CD12036" w14:textId="73938EEE" w:rsidR="00D85933" w:rsidRDefault="00162D0F" w:rsidP="002D7D58">
      <w:pPr>
        <w:spacing w:line="240" w:lineRule="auto"/>
        <w:contextualSpacing/>
      </w:pPr>
      <w:r>
        <w:t xml:space="preserve">Additionally, the library’s budget </w:t>
      </w:r>
      <w:r w:rsidR="001F2218">
        <w:t>funds</w:t>
      </w:r>
      <w:r>
        <w:t xml:space="preserve"> </w:t>
      </w:r>
      <w:r w:rsidR="006014D0">
        <w:t xml:space="preserve">approximately </w:t>
      </w:r>
      <w:r w:rsidR="00AE09CF">
        <w:t>20</w:t>
      </w:r>
      <w:r w:rsidR="006014D0">
        <w:t xml:space="preserve"> hours per week </w:t>
      </w:r>
      <w:r>
        <w:t xml:space="preserve">for student workers. </w:t>
      </w:r>
      <w:r w:rsidR="006014D0">
        <w:t>During fall 202</w:t>
      </w:r>
      <w:r w:rsidR="00AE09CF">
        <w:t>1</w:t>
      </w:r>
      <w:r w:rsidR="006014D0">
        <w:t xml:space="preserve"> </w:t>
      </w:r>
      <w:r w:rsidR="00395624">
        <w:t>and spring 202</w:t>
      </w:r>
      <w:r w:rsidR="00AE09CF">
        <w:t xml:space="preserve">2, </w:t>
      </w:r>
      <w:r w:rsidR="006014D0">
        <w:t xml:space="preserve">student workers were utilized </w:t>
      </w:r>
      <w:r w:rsidR="00AE09CF">
        <w:t>to cover lunch hours and evening hours</w:t>
      </w:r>
      <w:r w:rsidR="00A015A5">
        <w:t>.</w:t>
      </w:r>
      <w:r w:rsidR="006014D0">
        <w:t xml:space="preserve"> </w:t>
      </w:r>
      <w:r w:rsidR="00D32B46">
        <w:t xml:space="preserve">This coverage is essential to maintaining consistent, timely services to students, faculty and patrons. </w:t>
      </w:r>
    </w:p>
    <w:p w14:paraId="75C3F72F" w14:textId="77777777" w:rsidR="00410955" w:rsidRDefault="00410955" w:rsidP="002D7D58">
      <w:pPr>
        <w:spacing w:line="240" w:lineRule="auto"/>
        <w:contextualSpacing/>
      </w:pPr>
    </w:p>
    <w:p w14:paraId="5BD1C692" w14:textId="624C7A2D" w:rsidR="00410955" w:rsidRDefault="00EF112D" w:rsidP="002D7D58">
      <w:pPr>
        <w:spacing w:line="240" w:lineRule="auto"/>
        <w:contextualSpacing/>
      </w:pPr>
      <w:r>
        <w:t xml:space="preserve">The library was open for </w:t>
      </w:r>
      <w:r w:rsidR="00410955">
        <w:t xml:space="preserve">Information and Reference hours </w:t>
      </w:r>
      <w:r>
        <w:t xml:space="preserve">on </w:t>
      </w:r>
      <w:r w:rsidR="00410955">
        <w:t>Monday</w:t>
      </w:r>
      <w:r>
        <w:t>s</w:t>
      </w:r>
      <w:r w:rsidR="00410955">
        <w:t xml:space="preserve"> </w:t>
      </w:r>
      <w:r>
        <w:t xml:space="preserve">and Thursdays </w:t>
      </w:r>
      <w:r w:rsidR="00410955">
        <w:t xml:space="preserve">8:00 a.m. to </w:t>
      </w:r>
      <w:r>
        <w:t>6</w:t>
      </w:r>
      <w:r w:rsidR="00410955">
        <w:t>:</w:t>
      </w:r>
      <w:r>
        <w:t>3</w:t>
      </w:r>
      <w:r w:rsidR="00410955">
        <w:t>0 p.m.</w:t>
      </w:r>
      <w:r w:rsidR="008C260F">
        <w:t>;</w:t>
      </w:r>
      <w:r>
        <w:t xml:space="preserve"> Tuesdays and Wednesdays 8:00 a.m. to 5:00 p.m.</w:t>
      </w:r>
      <w:r w:rsidR="008C260F">
        <w:t xml:space="preserve">; </w:t>
      </w:r>
      <w:r>
        <w:t>Fridays 8:00 a.m. to 4:00 p.m.</w:t>
      </w:r>
    </w:p>
    <w:p w14:paraId="490B66FC" w14:textId="557ABFFD" w:rsidR="007D4685" w:rsidRDefault="007D4685" w:rsidP="002D7D58">
      <w:pPr>
        <w:spacing w:line="240" w:lineRule="auto"/>
        <w:contextualSpacing/>
      </w:pPr>
    </w:p>
    <w:p w14:paraId="2E029479" w14:textId="3B3B8FD6" w:rsidR="008A7483" w:rsidRDefault="008C260F" w:rsidP="002D7D58">
      <w:pPr>
        <w:spacing w:line="240" w:lineRule="auto"/>
        <w:contextualSpacing/>
      </w:pPr>
      <w:r>
        <w:t>Substitute workers covered the evening shifts.</w:t>
      </w:r>
    </w:p>
    <w:p w14:paraId="7709DB22" w14:textId="77777777" w:rsidR="008C260F" w:rsidRDefault="008C260F" w:rsidP="002D7D58">
      <w:pPr>
        <w:spacing w:line="240" w:lineRule="auto"/>
        <w:contextualSpacing/>
      </w:pPr>
    </w:p>
    <w:p w14:paraId="520CF693" w14:textId="77777777" w:rsidR="00D04309" w:rsidRDefault="00D04309" w:rsidP="002D7D58">
      <w:pPr>
        <w:spacing w:line="240" w:lineRule="auto"/>
        <w:contextualSpacing/>
        <w:rPr>
          <w:b/>
        </w:rPr>
      </w:pPr>
    </w:p>
    <w:p w14:paraId="40476D41" w14:textId="4553D964" w:rsidR="00E068B6" w:rsidRDefault="00E068B6" w:rsidP="002D7D58">
      <w:pPr>
        <w:spacing w:line="240" w:lineRule="auto"/>
        <w:contextualSpacing/>
        <w:rPr>
          <w:b/>
        </w:rPr>
      </w:pPr>
      <w:r w:rsidRPr="008D172B">
        <w:rPr>
          <w:b/>
        </w:rPr>
        <w:t>Library</w:t>
      </w:r>
      <w:r w:rsidR="00C25262" w:rsidRPr="008D172B">
        <w:rPr>
          <w:b/>
        </w:rPr>
        <w:t xml:space="preserve"> Instruction</w:t>
      </w:r>
      <w:r w:rsidR="009A4202" w:rsidRPr="008D172B">
        <w:rPr>
          <w:b/>
        </w:rPr>
        <w:t xml:space="preserve"> by class visit</w:t>
      </w:r>
      <w:r w:rsidR="000D375D">
        <w:rPr>
          <w:b/>
        </w:rPr>
        <w:t xml:space="preserve">  </w:t>
      </w:r>
    </w:p>
    <w:p w14:paraId="0F3722AB" w14:textId="77777777" w:rsidR="002D7D58" w:rsidRPr="00C06AEC" w:rsidRDefault="002D7D58" w:rsidP="002D7D58">
      <w:pPr>
        <w:spacing w:line="240" w:lineRule="auto"/>
        <w:contextualSpacing/>
        <w:rPr>
          <w:b/>
        </w:rPr>
      </w:pPr>
    </w:p>
    <w:tbl>
      <w:tblPr>
        <w:tblStyle w:val="TableGrid"/>
        <w:tblW w:w="0" w:type="auto"/>
        <w:tblLook w:val="04A0" w:firstRow="1" w:lastRow="0" w:firstColumn="1" w:lastColumn="0" w:noHBand="0" w:noVBand="1"/>
      </w:tblPr>
      <w:tblGrid>
        <w:gridCol w:w="2337"/>
        <w:gridCol w:w="2337"/>
        <w:gridCol w:w="2338"/>
        <w:gridCol w:w="2338"/>
      </w:tblGrid>
      <w:tr w:rsidR="00D04309" w14:paraId="132F783D" w14:textId="77777777" w:rsidTr="00F9311A">
        <w:tc>
          <w:tcPr>
            <w:tcW w:w="2337" w:type="dxa"/>
          </w:tcPr>
          <w:p w14:paraId="220889CD" w14:textId="0275C533" w:rsidR="00D04309" w:rsidRDefault="00D04309" w:rsidP="002D7D58">
            <w:pPr>
              <w:contextualSpacing/>
            </w:pPr>
            <w:r>
              <w:t>Fall 2019</w:t>
            </w:r>
          </w:p>
        </w:tc>
        <w:tc>
          <w:tcPr>
            <w:tcW w:w="2337" w:type="dxa"/>
          </w:tcPr>
          <w:p w14:paraId="3C9B4E78" w14:textId="53BCCDC7" w:rsidR="00D04309" w:rsidRDefault="00D04309" w:rsidP="002D7D58">
            <w:pPr>
              <w:contextualSpacing/>
            </w:pPr>
            <w:r>
              <w:t>23</w:t>
            </w:r>
          </w:p>
        </w:tc>
        <w:tc>
          <w:tcPr>
            <w:tcW w:w="2338" w:type="dxa"/>
          </w:tcPr>
          <w:p w14:paraId="2D1E38FF" w14:textId="050E7FE5" w:rsidR="00D04309" w:rsidRDefault="00D04309" w:rsidP="002D7D58">
            <w:pPr>
              <w:contextualSpacing/>
            </w:pPr>
            <w:r>
              <w:t>Spring 2020</w:t>
            </w:r>
          </w:p>
        </w:tc>
        <w:tc>
          <w:tcPr>
            <w:tcW w:w="2338" w:type="dxa"/>
          </w:tcPr>
          <w:p w14:paraId="7B7D5B96" w14:textId="2F097BA2" w:rsidR="00D04309" w:rsidRDefault="00D04309" w:rsidP="002D7D58">
            <w:pPr>
              <w:contextualSpacing/>
            </w:pPr>
            <w:r>
              <w:t>25</w:t>
            </w:r>
          </w:p>
        </w:tc>
      </w:tr>
      <w:tr w:rsidR="00876E73" w14:paraId="18B0421B" w14:textId="77777777" w:rsidTr="00F9311A">
        <w:tc>
          <w:tcPr>
            <w:tcW w:w="2337" w:type="dxa"/>
          </w:tcPr>
          <w:p w14:paraId="3770CA82" w14:textId="51BA84C7" w:rsidR="00876E73" w:rsidRDefault="00876E73" w:rsidP="002D7D58">
            <w:pPr>
              <w:contextualSpacing/>
            </w:pPr>
            <w:r>
              <w:t>Fall 2020</w:t>
            </w:r>
          </w:p>
        </w:tc>
        <w:tc>
          <w:tcPr>
            <w:tcW w:w="2337" w:type="dxa"/>
          </w:tcPr>
          <w:p w14:paraId="7D15A980" w14:textId="12931ED0" w:rsidR="00876E73" w:rsidRDefault="00D21516" w:rsidP="002D7D58">
            <w:pPr>
              <w:contextualSpacing/>
            </w:pPr>
            <w:r>
              <w:t>5</w:t>
            </w:r>
          </w:p>
        </w:tc>
        <w:tc>
          <w:tcPr>
            <w:tcW w:w="2338" w:type="dxa"/>
          </w:tcPr>
          <w:p w14:paraId="43149041" w14:textId="42132CA1" w:rsidR="00876E73" w:rsidRDefault="00D21516" w:rsidP="002D7D58">
            <w:pPr>
              <w:contextualSpacing/>
            </w:pPr>
            <w:r>
              <w:t>Spring 2021</w:t>
            </w:r>
          </w:p>
        </w:tc>
        <w:tc>
          <w:tcPr>
            <w:tcW w:w="2338" w:type="dxa"/>
          </w:tcPr>
          <w:p w14:paraId="06EEF817" w14:textId="150E125D" w:rsidR="005B2C29" w:rsidRDefault="00F9311A" w:rsidP="002D7D58">
            <w:pPr>
              <w:contextualSpacing/>
            </w:pPr>
            <w:r>
              <w:t>6</w:t>
            </w:r>
          </w:p>
        </w:tc>
      </w:tr>
      <w:tr w:rsidR="005B2C29" w14:paraId="0665140F" w14:textId="77777777" w:rsidTr="00F9311A">
        <w:tc>
          <w:tcPr>
            <w:tcW w:w="2337" w:type="dxa"/>
          </w:tcPr>
          <w:p w14:paraId="35CC67C3" w14:textId="05C44DBF" w:rsidR="005B2C29" w:rsidRDefault="005B2C29" w:rsidP="002D7D58">
            <w:pPr>
              <w:contextualSpacing/>
            </w:pPr>
            <w:r>
              <w:t>Fall 2021</w:t>
            </w:r>
          </w:p>
        </w:tc>
        <w:tc>
          <w:tcPr>
            <w:tcW w:w="2337" w:type="dxa"/>
          </w:tcPr>
          <w:p w14:paraId="7DB56792" w14:textId="04FC9071" w:rsidR="005B2C29" w:rsidRDefault="005B2C29" w:rsidP="002D7D58">
            <w:pPr>
              <w:contextualSpacing/>
            </w:pPr>
            <w:r>
              <w:t>13</w:t>
            </w:r>
          </w:p>
        </w:tc>
        <w:tc>
          <w:tcPr>
            <w:tcW w:w="2338" w:type="dxa"/>
          </w:tcPr>
          <w:p w14:paraId="33535409" w14:textId="6446DA8B" w:rsidR="005B2C29" w:rsidRDefault="005B2C29" w:rsidP="002D7D58">
            <w:pPr>
              <w:contextualSpacing/>
            </w:pPr>
            <w:r>
              <w:t>Spring 2022</w:t>
            </w:r>
          </w:p>
        </w:tc>
        <w:tc>
          <w:tcPr>
            <w:tcW w:w="2338" w:type="dxa"/>
          </w:tcPr>
          <w:p w14:paraId="1ECBAAD3" w14:textId="28CB1D40" w:rsidR="005B2C29" w:rsidRDefault="005B2C29" w:rsidP="002D7D58">
            <w:pPr>
              <w:contextualSpacing/>
            </w:pPr>
            <w:r>
              <w:t>13</w:t>
            </w:r>
          </w:p>
        </w:tc>
      </w:tr>
    </w:tbl>
    <w:p w14:paraId="2A268930" w14:textId="77777777" w:rsidR="00F96D03" w:rsidRDefault="00F96D03" w:rsidP="002D7D58">
      <w:pPr>
        <w:spacing w:line="240" w:lineRule="auto"/>
        <w:contextualSpacing/>
      </w:pPr>
    </w:p>
    <w:p w14:paraId="407289E5" w14:textId="77777777" w:rsidR="00656621" w:rsidRDefault="005B2C29" w:rsidP="002D7D58">
      <w:pPr>
        <w:spacing w:line="240" w:lineRule="auto"/>
        <w:contextualSpacing/>
      </w:pPr>
      <w:r>
        <w:t xml:space="preserve">Librarian visits to </w:t>
      </w:r>
      <w:r w:rsidR="008F18BA">
        <w:t xml:space="preserve">classrooms </w:t>
      </w:r>
      <w:r>
        <w:t>improv</w:t>
      </w:r>
      <w:r w:rsidR="00D01757">
        <w:t>ed</w:t>
      </w:r>
      <w:r>
        <w:t xml:space="preserve"> from the middle of the pandemic when </w:t>
      </w:r>
      <w:r w:rsidR="00D01757">
        <w:t xml:space="preserve">the </w:t>
      </w:r>
      <w:r>
        <w:t xml:space="preserve">campus was closed; however, the data shows that </w:t>
      </w:r>
      <w:r w:rsidR="00D01757">
        <w:t xml:space="preserve">class visits </w:t>
      </w:r>
      <w:r w:rsidR="00656621">
        <w:t>lag</w:t>
      </w:r>
      <w:r w:rsidR="00D01757">
        <w:t xml:space="preserve"> pre-pandemic levels</w:t>
      </w:r>
      <w:r w:rsidR="00656621">
        <w:t xml:space="preserve"> in quantity</w:t>
      </w:r>
      <w:r w:rsidR="00D01757">
        <w:t>.</w:t>
      </w:r>
      <w:r w:rsidR="00656621">
        <w:t xml:space="preserve"> </w:t>
      </w:r>
    </w:p>
    <w:p w14:paraId="5BED1158" w14:textId="10C8D6AE" w:rsidR="00656621" w:rsidRDefault="00656621" w:rsidP="002D7D58">
      <w:pPr>
        <w:spacing w:line="240" w:lineRule="auto"/>
        <w:contextualSpacing/>
      </w:pPr>
    </w:p>
    <w:p w14:paraId="18F0108B" w14:textId="1BB0D341" w:rsidR="00D65AB1" w:rsidRDefault="008F402E" w:rsidP="002D7D58">
      <w:pPr>
        <w:spacing w:line="240" w:lineRule="auto"/>
        <w:contextualSpacing/>
        <w:rPr>
          <w:b/>
          <w:bCs/>
        </w:rPr>
      </w:pPr>
      <w:r>
        <w:rPr>
          <w:b/>
          <w:bCs/>
        </w:rPr>
        <w:t xml:space="preserve">Student feedback </w:t>
      </w:r>
    </w:p>
    <w:p w14:paraId="69A532E9" w14:textId="77777777" w:rsidR="008F402E" w:rsidRPr="00D65AB1" w:rsidRDefault="008F402E" w:rsidP="002D7D58">
      <w:pPr>
        <w:spacing w:line="240" w:lineRule="auto"/>
        <w:contextualSpacing/>
        <w:rPr>
          <w:b/>
          <w:bCs/>
        </w:rPr>
      </w:pPr>
    </w:p>
    <w:p w14:paraId="3BA8B7ED" w14:textId="13D1FC19" w:rsidR="00656621" w:rsidRDefault="00D65AB1" w:rsidP="002D7D58">
      <w:pPr>
        <w:spacing w:line="240" w:lineRule="auto"/>
        <w:contextualSpacing/>
        <w:rPr>
          <w:highlight w:val="yellow"/>
        </w:rPr>
      </w:pPr>
      <w:r w:rsidRPr="0007100B">
        <w:t>Most</w:t>
      </w:r>
      <w:r w:rsidR="0007100B" w:rsidRPr="0007100B">
        <w:t xml:space="preserve"> students </w:t>
      </w:r>
      <w:r w:rsidR="0007100B">
        <w:t xml:space="preserve">(99%) </w:t>
      </w:r>
      <w:r>
        <w:t xml:space="preserve">that completed the anonymous self-reflection survey after each presentation/workshop </w:t>
      </w:r>
      <w:r w:rsidR="0007100B" w:rsidRPr="0007100B">
        <w:t>reported that they agreed or strongly agreed that the workshops made them feel more confident about completing research assignments, and that they fe</w:t>
      </w:r>
      <w:r>
        <w:t>e</w:t>
      </w:r>
      <w:r w:rsidR="0007100B" w:rsidRPr="0007100B">
        <w:t>l more confident in using library resources.</w:t>
      </w:r>
      <w:r w:rsidR="008F402E">
        <w:t xml:space="preserve"> Unfortunately, the reflection survey is not required and not all students take the time to complete it. This leaves a gap in data as to how many students received the instruction and how many found it helpful.</w:t>
      </w:r>
    </w:p>
    <w:p w14:paraId="14BBC02E" w14:textId="04AFBE98" w:rsidR="0007100B" w:rsidRDefault="0007100B" w:rsidP="002D7D58">
      <w:pPr>
        <w:spacing w:line="240" w:lineRule="auto"/>
        <w:contextualSpacing/>
        <w:rPr>
          <w:highlight w:val="yellow"/>
        </w:rPr>
      </w:pPr>
    </w:p>
    <w:p w14:paraId="652F912D" w14:textId="29CB2B1C" w:rsidR="00D65AB1" w:rsidRPr="00D65AB1" w:rsidRDefault="00D65AB1" w:rsidP="002D7D58">
      <w:pPr>
        <w:spacing w:line="240" w:lineRule="auto"/>
        <w:contextualSpacing/>
        <w:rPr>
          <w:b/>
          <w:bCs/>
          <w:highlight w:val="yellow"/>
        </w:rPr>
      </w:pPr>
      <w:r w:rsidRPr="00D65AB1">
        <w:rPr>
          <w:b/>
          <w:bCs/>
        </w:rPr>
        <w:t>Embedded Librarian</w:t>
      </w:r>
    </w:p>
    <w:p w14:paraId="785E4B4C" w14:textId="5121AC9A" w:rsidR="00822549" w:rsidRDefault="00822549" w:rsidP="002D7D58">
      <w:pPr>
        <w:spacing w:line="240" w:lineRule="auto"/>
        <w:contextualSpacing/>
      </w:pPr>
    </w:p>
    <w:p w14:paraId="13E7704E" w14:textId="1618EC46" w:rsidR="00822549" w:rsidRDefault="00F9311A" w:rsidP="002D7D58">
      <w:pPr>
        <w:spacing w:line="240" w:lineRule="auto"/>
        <w:contextualSpacing/>
      </w:pPr>
      <w:r>
        <w:lastRenderedPageBreak/>
        <w:t>T</w:t>
      </w:r>
      <w:r w:rsidR="00822549">
        <w:t xml:space="preserve">he librarian is embedded in several English 1500 </w:t>
      </w:r>
      <w:r w:rsidR="008F402E">
        <w:t xml:space="preserve">and history </w:t>
      </w:r>
      <w:r w:rsidR="00822549">
        <w:t xml:space="preserve">courses as an additional instructor or TA. Participating faculty report that this method of reaching students is helpful in keeping them on track with their research projects and helps remove the barrier of how to contact the librarian for help. </w:t>
      </w:r>
    </w:p>
    <w:p w14:paraId="2BD59792" w14:textId="77777777" w:rsidR="0044312A" w:rsidRDefault="0044312A" w:rsidP="002D7D58">
      <w:pPr>
        <w:spacing w:line="240" w:lineRule="auto"/>
        <w:contextualSpacing/>
      </w:pPr>
    </w:p>
    <w:p w14:paraId="3C2496ED" w14:textId="77777777" w:rsidR="00C66381" w:rsidRDefault="00B57AA8" w:rsidP="002D7D58">
      <w:pPr>
        <w:spacing w:line="240" w:lineRule="auto"/>
        <w:contextualSpacing/>
        <w:rPr>
          <w:b/>
        </w:rPr>
      </w:pPr>
      <w:r w:rsidRPr="00A915DF">
        <w:rPr>
          <w:b/>
        </w:rPr>
        <w:t xml:space="preserve">Reference </w:t>
      </w:r>
      <w:r w:rsidR="00140F9B" w:rsidRPr="00A915DF">
        <w:rPr>
          <w:b/>
        </w:rPr>
        <w:t xml:space="preserve">and informational </w:t>
      </w:r>
      <w:r w:rsidR="005851D7" w:rsidRPr="00A915DF">
        <w:rPr>
          <w:b/>
        </w:rPr>
        <w:t>questions answered</w:t>
      </w:r>
      <w:r w:rsidR="00140F9B" w:rsidRPr="00A915DF">
        <w:rPr>
          <w:b/>
        </w:rPr>
        <w:t xml:space="preserve"> by library staff:</w:t>
      </w:r>
    </w:p>
    <w:p w14:paraId="62BEE899" w14:textId="77777777" w:rsidR="002D7D58" w:rsidRDefault="002D7D58" w:rsidP="002D7D58">
      <w:pPr>
        <w:spacing w:line="240" w:lineRule="auto"/>
        <w:contextualSpacing/>
        <w:rPr>
          <w:b/>
        </w:rPr>
      </w:pPr>
    </w:p>
    <w:tbl>
      <w:tblPr>
        <w:tblStyle w:val="TableGrid"/>
        <w:tblW w:w="6870" w:type="dxa"/>
        <w:tblLook w:val="04A0" w:firstRow="1" w:lastRow="0" w:firstColumn="1" w:lastColumn="0" w:noHBand="0" w:noVBand="1"/>
      </w:tblPr>
      <w:tblGrid>
        <w:gridCol w:w="2290"/>
        <w:gridCol w:w="2290"/>
        <w:gridCol w:w="2290"/>
      </w:tblGrid>
      <w:tr w:rsidR="00D65AB1" w14:paraId="5ED19AFE" w14:textId="37448DBD" w:rsidTr="00D65AB1">
        <w:trPr>
          <w:trHeight w:val="293"/>
        </w:trPr>
        <w:tc>
          <w:tcPr>
            <w:tcW w:w="2290" w:type="dxa"/>
          </w:tcPr>
          <w:p w14:paraId="0F7E83E7" w14:textId="3A0D3DE5" w:rsidR="00D65AB1" w:rsidRDefault="00D65AB1" w:rsidP="002D7D58">
            <w:pPr>
              <w:contextualSpacing/>
              <w:jc w:val="center"/>
            </w:pPr>
            <w:r>
              <w:t>2019/2020 AY</w:t>
            </w:r>
          </w:p>
        </w:tc>
        <w:tc>
          <w:tcPr>
            <w:tcW w:w="2290" w:type="dxa"/>
          </w:tcPr>
          <w:p w14:paraId="43BCC933" w14:textId="3B670942" w:rsidR="00D65AB1" w:rsidRDefault="00D65AB1" w:rsidP="002D7D58">
            <w:pPr>
              <w:contextualSpacing/>
              <w:jc w:val="center"/>
            </w:pPr>
            <w:r>
              <w:t>2020/2021 AY</w:t>
            </w:r>
          </w:p>
        </w:tc>
        <w:tc>
          <w:tcPr>
            <w:tcW w:w="2290" w:type="dxa"/>
          </w:tcPr>
          <w:p w14:paraId="5BFE5769" w14:textId="45A0D7B2" w:rsidR="00D65AB1" w:rsidRDefault="00D65AB1" w:rsidP="002D7D58">
            <w:pPr>
              <w:contextualSpacing/>
              <w:jc w:val="center"/>
            </w:pPr>
            <w:r>
              <w:t>2021/2022 AY</w:t>
            </w:r>
          </w:p>
        </w:tc>
      </w:tr>
      <w:tr w:rsidR="00D65AB1" w14:paraId="2D694A32" w14:textId="204BFAEE" w:rsidTr="00D65AB1">
        <w:trPr>
          <w:trHeight w:val="293"/>
        </w:trPr>
        <w:tc>
          <w:tcPr>
            <w:tcW w:w="2290" w:type="dxa"/>
          </w:tcPr>
          <w:p w14:paraId="4FBA3839" w14:textId="1982D9FC" w:rsidR="00D65AB1" w:rsidRPr="00BA691B" w:rsidRDefault="00D65AB1" w:rsidP="002D7D58">
            <w:pPr>
              <w:contextualSpacing/>
              <w:jc w:val="center"/>
            </w:pPr>
            <w:r>
              <w:t>3,762</w:t>
            </w:r>
          </w:p>
        </w:tc>
        <w:tc>
          <w:tcPr>
            <w:tcW w:w="2290" w:type="dxa"/>
          </w:tcPr>
          <w:p w14:paraId="03E7F2ED" w14:textId="02A53791" w:rsidR="00D65AB1" w:rsidRDefault="00D65AB1" w:rsidP="002D7D58">
            <w:pPr>
              <w:contextualSpacing/>
              <w:jc w:val="center"/>
            </w:pPr>
            <w:r>
              <w:t>190</w:t>
            </w:r>
          </w:p>
        </w:tc>
        <w:tc>
          <w:tcPr>
            <w:tcW w:w="2290" w:type="dxa"/>
          </w:tcPr>
          <w:p w14:paraId="1DE650FC" w14:textId="5CE7573B" w:rsidR="00D65AB1" w:rsidRDefault="00DD411B" w:rsidP="002D7D58">
            <w:pPr>
              <w:contextualSpacing/>
              <w:jc w:val="center"/>
            </w:pPr>
            <w:r>
              <w:t>588</w:t>
            </w:r>
          </w:p>
        </w:tc>
      </w:tr>
    </w:tbl>
    <w:p w14:paraId="3B503535" w14:textId="77777777" w:rsidR="002D7D58" w:rsidRDefault="002D7D58" w:rsidP="002D7D58">
      <w:pPr>
        <w:spacing w:line="240" w:lineRule="auto"/>
        <w:contextualSpacing/>
      </w:pPr>
    </w:p>
    <w:p w14:paraId="0F161251" w14:textId="6EE83287" w:rsidR="00140F9B" w:rsidRDefault="000D403E" w:rsidP="002D7D58">
      <w:pPr>
        <w:spacing w:line="240" w:lineRule="auto"/>
        <w:contextualSpacing/>
      </w:pPr>
      <w:r>
        <w:t>The number of reference transactions</w:t>
      </w:r>
      <w:r w:rsidR="00C356C9">
        <w:t xml:space="preserve"> more than doubled </w:t>
      </w:r>
      <w:r w:rsidR="00FF1C17">
        <w:t xml:space="preserve">from the previous AY; </w:t>
      </w:r>
      <w:r w:rsidR="00C356C9">
        <w:t xml:space="preserve">however, </w:t>
      </w:r>
      <w:r w:rsidR="00FF1C17">
        <w:t xml:space="preserve">reference assistance </w:t>
      </w:r>
      <w:r w:rsidR="00C356C9">
        <w:t xml:space="preserve">remains well below the pre-pandemic count. </w:t>
      </w:r>
      <w:r>
        <w:t>The library promote</w:t>
      </w:r>
      <w:r w:rsidR="00C356C9">
        <w:t>s</w:t>
      </w:r>
      <w:r>
        <w:t xml:space="preserve"> phone, email, and Zoom hours on the homepage as well as in Canvas</w:t>
      </w:r>
      <w:r w:rsidR="00C356C9">
        <w:t xml:space="preserve">. We also use online chat, </w:t>
      </w:r>
      <w:r w:rsidR="00DD411B">
        <w:t>“</w:t>
      </w:r>
      <w:r w:rsidR="00C356C9">
        <w:t>Ask the Library,</w:t>
      </w:r>
      <w:r w:rsidR="00DD411B">
        <w:t>”</w:t>
      </w:r>
      <w:r w:rsidR="00C356C9">
        <w:t xml:space="preserve"> for assistance. This </w:t>
      </w:r>
      <w:r w:rsidR="008F402E">
        <w:t>service</w:t>
      </w:r>
      <w:r w:rsidR="00C356C9">
        <w:t xml:space="preserve"> </w:t>
      </w:r>
      <w:r w:rsidR="00FF1C17">
        <w:t>allows for real-time assistance as well as an FAQ bank when unstaffed.</w:t>
      </w:r>
      <w:r w:rsidR="00DD411B">
        <w:t xml:space="preserve"> In addition to the 463 face-to-face reference interviews, </w:t>
      </w:r>
      <w:r w:rsidR="008F402E">
        <w:t xml:space="preserve">library staff responded to 125 </w:t>
      </w:r>
      <w:r w:rsidR="00DD411B">
        <w:t xml:space="preserve">“Ask the Library” </w:t>
      </w:r>
      <w:r w:rsidR="008F402E">
        <w:t>requests</w:t>
      </w:r>
      <w:r w:rsidR="00A33C40">
        <w:t xml:space="preserve"> for AY 2021-2022.</w:t>
      </w:r>
    </w:p>
    <w:p w14:paraId="2031A912" w14:textId="2C2FCAB7" w:rsidR="00B852B1" w:rsidRDefault="00B852B1" w:rsidP="002D7D58">
      <w:pPr>
        <w:spacing w:line="240" w:lineRule="auto"/>
        <w:contextualSpacing/>
      </w:pPr>
    </w:p>
    <w:p w14:paraId="4080AAA4" w14:textId="6936E0BC" w:rsidR="00B852B1" w:rsidRDefault="00B852B1" w:rsidP="002D7D58">
      <w:pPr>
        <w:spacing w:line="240" w:lineRule="auto"/>
        <w:contextualSpacing/>
        <w:rPr>
          <w:b/>
          <w:bCs/>
        </w:rPr>
      </w:pPr>
      <w:r w:rsidRPr="00B852B1">
        <w:rPr>
          <w:b/>
          <w:bCs/>
        </w:rPr>
        <w:t>Library virtual tour</w:t>
      </w:r>
    </w:p>
    <w:p w14:paraId="79588BF9" w14:textId="54FEBD14" w:rsidR="00B852B1" w:rsidRDefault="00B852B1" w:rsidP="002D7D58">
      <w:pPr>
        <w:spacing w:line="240" w:lineRule="auto"/>
        <w:contextualSpacing/>
        <w:rPr>
          <w:b/>
          <w:bCs/>
        </w:rPr>
      </w:pPr>
    </w:p>
    <w:tbl>
      <w:tblPr>
        <w:tblStyle w:val="TableGrid"/>
        <w:tblW w:w="0" w:type="auto"/>
        <w:tblLook w:val="04A0" w:firstRow="1" w:lastRow="0" w:firstColumn="1" w:lastColumn="0" w:noHBand="0" w:noVBand="1"/>
      </w:tblPr>
      <w:tblGrid>
        <w:gridCol w:w="3685"/>
        <w:gridCol w:w="1267"/>
      </w:tblGrid>
      <w:tr w:rsidR="00692A61" w14:paraId="52DDE9C8" w14:textId="77777777" w:rsidTr="00692A61">
        <w:tc>
          <w:tcPr>
            <w:tcW w:w="3685" w:type="dxa"/>
          </w:tcPr>
          <w:p w14:paraId="15CD1FED" w14:textId="0F04536A" w:rsidR="00692A61" w:rsidRPr="00587EA5" w:rsidRDefault="00692A61" w:rsidP="002D7D58">
            <w:pPr>
              <w:contextualSpacing/>
            </w:pPr>
            <w:r>
              <w:t>Pre-pandemic Fall 2019</w:t>
            </w:r>
          </w:p>
        </w:tc>
        <w:tc>
          <w:tcPr>
            <w:tcW w:w="1267" w:type="dxa"/>
          </w:tcPr>
          <w:p w14:paraId="794E7B52" w14:textId="7E649CCE" w:rsidR="00692A61" w:rsidRDefault="00692A61" w:rsidP="002D7D58">
            <w:pPr>
              <w:contextualSpacing/>
            </w:pPr>
            <w:r>
              <w:t>179</w:t>
            </w:r>
          </w:p>
        </w:tc>
      </w:tr>
      <w:tr w:rsidR="00692A61" w14:paraId="62DFEF66" w14:textId="77777777" w:rsidTr="00692A61">
        <w:tc>
          <w:tcPr>
            <w:tcW w:w="3685" w:type="dxa"/>
          </w:tcPr>
          <w:p w14:paraId="265E7433" w14:textId="56FC0943" w:rsidR="00692A61" w:rsidRPr="00587EA5" w:rsidRDefault="00692A61" w:rsidP="002D7D58">
            <w:pPr>
              <w:contextualSpacing/>
            </w:pPr>
            <w:r>
              <w:t>Pandemic begins Spring 2020</w:t>
            </w:r>
          </w:p>
        </w:tc>
        <w:tc>
          <w:tcPr>
            <w:tcW w:w="1267" w:type="dxa"/>
          </w:tcPr>
          <w:p w14:paraId="109C9A81" w14:textId="67A733BE" w:rsidR="00692A61" w:rsidRDefault="00692A61" w:rsidP="002D7D58">
            <w:pPr>
              <w:contextualSpacing/>
            </w:pPr>
            <w:r>
              <w:t>173</w:t>
            </w:r>
          </w:p>
        </w:tc>
      </w:tr>
      <w:tr w:rsidR="00A33C40" w14:paraId="131201F1" w14:textId="1CBBE3DF" w:rsidTr="00692A61">
        <w:tc>
          <w:tcPr>
            <w:tcW w:w="3685" w:type="dxa"/>
          </w:tcPr>
          <w:p w14:paraId="731645F2" w14:textId="06E07AE6" w:rsidR="00A33C40" w:rsidRPr="00587EA5" w:rsidRDefault="00A33C40" w:rsidP="002D7D58">
            <w:pPr>
              <w:contextualSpacing/>
            </w:pPr>
            <w:r w:rsidRPr="00587EA5">
              <w:t>Fall 2020</w:t>
            </w:r>
          </w:p>
        </w:tc>
        <w:tc>
          <w:tcPr>
            <w:tcW w:w="1267" w:type="dxa"/>
          </w:tcPr>
          <w:p w14:paraId="38864BAD" w14:textId="3FAD2AD0" w:rsidR="00A33C40" w:rsidRPr="00587EA5" w:rsidRDefault="00A33C40" w:rsidP="002D7D58">
            <w:pPr>
              <w:contextualSpacing/>
            </w:pPr>
            <w:r>
              <w:t>305</w:t>
            </w:r>
          </w:p>
        </w:tc>
      </w:tr>
      <w:tr w:rsidR="00A33C40" w14:paraId="15212DE7" w14:textId="6CF139BE" w:rsidTr="00692A61">
        <w:tc>
          <w:tcPr>
            <w:tcW w:w="3685" w:type="dxa"/>
          </w:tcPr>
          <w:p w14:paraId="34E14914" w14:textId="59286C6F" w:rsidR="00A33C40" w:rsidRPr="00587EA5" w:rsidRDefault="00A33C40" w:rsidP="002D7D58">
            <w:pPr>
              <w:contextualSpacing/>
            </w:pPr>
            <w:r w:rsidRPr="00587EA5">
              <w:t>Spring</w:t>
            </w:r>
            <w:r>
              <w:t xml:space="preserve"> 2021</w:t>
            </w:r>
          </w:p>
        </w:tc>
        <w:tc>
          <w:tcPr>
            <w:tcW w:w="1267" w:type="dxa"/>
          </w:tcPr>
          <w:p w14:paraId="41BD4587" w14:textId="0BEBBCE6" w:rsidR="00A33C40" w:rsidRPr="00587EA5" w:rsidRDefault="00A33C40" w:rsidP="002D7D58">
            <w:pPr>
              <w:contextualSpacing/>
            </w:pPr>
            <w:r w:rsidRPr="00587EA5">
              <w:t>354</w:t>
            </w:r>
          </w:p>
        </w:tc>
      </w:tr>
      <w:tr w:rsidR="00A33C40" w14:paraId="1FA7629E" w14:textId="77777777" w:rsidTr="00692A61">
        <w:tc>
          <w:tcPr>
            <w:tcW w:w="3685" w:type="dxa"/>
          </w:tcPr>
          <w:p w14:paraId="270C2A76" w14:textId="3339644F" w:rsidR="00A33C40" w:rsidRPr="00587EA5" w:rsidRDefault="00B45A49" w:rsidP="002D7D58">
            <w:pPr>
              <w:contextualSpacing/>
            </w:pPr>
            <w:r>
              <w:t xml:space="preserve">Return to campus </w:t>
            </w:r>
            <w:r w:rsidR="00A33C40">
              <w:t>Fall 2021</w:t>
            </w:r>
          </w:p>
        </w:tc>
        <w:tc>
          <w:tcPr>
            <w:tcW w:w="1267" w:type="dxa"/>
          </w:tcPr>
          <w:p w14:paraId="18C5A579" w14:textId="6B5A602D" w:rsidR="00A33C40" w:rsidRPr="00587EA5" w:rsidRDefault="00AB0EFB" w:rsidP="002D7D58">
            <w:pPr>
              <w:contextualSpacing/>
            </w:pPr>
            <w:r>
              <w:t>226</w:t>
            </w:r>
          </w:p>
        </w:tc>
      </w:tr>
      <w:tr w:rsidR="00A33C40" w14:paraId="42D2BDB7" w14:textId="77777777" w:rsidTr="00692A61">
        <w:tc>
          <w:tcPr>
            <w:tcW w:w="3685" w:type="dxa"/>
          </w:tcPr>
          <w:p w14:paraId="737F0823" w14:textId="36205FAA" w:rsidR="00A33C40" w:rsidRPr="00587EA5" w:rsidRDefault="00B45A49" w:rsidP="002D7D58">
            <w:pPr>
              <w:contextualSpacing/>
            </w:pPr>
            <w:r>
              <w:t xml:space="preserve">On campus </w:t>
            </w:r>
            <w:r w:rsidR="00A33C40">
              <w:t>Spring 2022</w:t>
            </w:r>
          </w:p>
        </w:tc>
        <w:tc>
          <w:tcPr>
            <w:tcW w:w="1267" w:type="dxa"/>
          </w:tcPr>
          <w:p w14:paraId="6B6809A8" w14:textId="6CD3EE54" w:rsidR="00A33C40" w:rsidRPr="00587EA5" w:rsidRDefault="00AB0EFB" w:rsidP="002D7D58">
            <w:pPr>
              <w:contextualSpacing/>
            </w:pPr>
            <w:r>
              <w:t>184</w:t>
            </w:r>
          </w:p>
        </w:tc>
      </w:tr>
    </w:tbl>
    <w:p w14:paraId="4BA87837" w14:textId="5A4C2BEB" w:rsidR="00B852B1" w:rsidRDefault="00B852B1" w:rsidP="002D7D58">
      <w:pPr>
        <w:spacing w:line="240" w:lineRule="auto"/>
        <w:contextualSpacing/>
        <w:rPr>
          <w:b/>
          <w:bCs/>
        </w:rPr>
      </w:pPr>
    </w:p>
    <w:p w14:paraId="373DB036" w14:textId="39D7B70E" w:rsidR="00193D18" w:rsidRDefault="00193D18" w:rsidP="002D7D58">
      <w:pPr>
        <w:spacing w:line="240" w:lineRule="auto"/>
        <w:contextualSpacing/>
      </w:pPr>
      <w:r>
        <w:t>The</w:t>
      </w:r>
      <w:r w:rsidR="00AC7157">
        <w:t xml:space="preserve"> virtual </w:t>
      </w:r>
      <w:r>
        <w:t>library tour</w:t>
      </w:r>
      <w:r w:rsidR="00AC7157">
        <w:t xml:space="preserve"> continues to be popular with faculty. </w:t>
      </w:r>
      <w:r w:rsidR="00692A61">
        <w:t>The data reflects the change from pre-pandemic</w:t>
      </w:r>
      <w:r w:rsidR="00B45A49">
        <w:t xml:space="preserve"> in</w:t>
      </w:r>
      <w:r w:rsidR="00692A61">
        <w:t xml:space="preserve"> fall 2019 to the onset of the pandemic</w:t>
      </w:r>
      <w:r w:rsidR="00B45A49">
        <w:t xml:space="preserve"> in spring 2020, through post-pandemic fall 2021 and spring 2022</w:t>
      </w:r>
      <w:r w:rsidR="00692A61">
        <w:t xml:space="preserve">. The data is consistent as this tour is traditionally assigned the first week of class, and the campus closed on March 20, 2020. The following year, the campus was closed fall 2020 and the results show that students were assigned the tour to teach students how to use the library’s resources. By fall 2021 the tour exceeded pre-pandemic volume </w:t>
      </w:r>
      <w:r w:rsidR="00B45A49">
        <w:t xml:space="preserve">but was less than the pandemic era. </w:t>
      </w:r>
      <w:r w:rsidR="00DD411B">
        <w:t>A possible explanation for the reduced number of tours taken post pandemic is lower enrollment.</w:t>
      </w:r>
    </w:p>
    <w:p w14:paraId="53BE9F27" w14:textId="77777777" w:rsidR="00193D18" w:rsidRPr="00193D18" w:rsidRDefault="00193D18" w:rsidP="002D7D58">
      <w:pPr>
        <w:spacing w:line="240" w:lineRule="auto"/>
        <w:contextualSpacing/>
      </w:pPr>
    </w:p>
    <w:p w14:paraId="33CE18A5" w14:textId="48F3CAFA" w:rsidR="00506728" w:rsidRDefault="00316BDD" w:rsidP="002D7D58">
      <w:pPr>
        <w:spacing w:line="240" w:lineRule="auto"/>
        <w:contextualSpacing/>
        <w:rPr>
          <w:b/>
        </w:rPr>
      </w:pPr>
      <w:r w:rsidRPr="00C06AEC">
        <w:rPr>
          <w:b/>
        </w:rPr>
        <w:t>INCO 1048</w:t>
      </w:r>
      <w:r w:rsidR="002528F2">
        <w:rPr>
          <w:b/>
        </w:rPr>
        <w:t>/LIBR 1548</w:t>
      </w:r>
    </w:p>
    <w:p w14:paraId="049438E7" w14:textId="77777777" w:rsidR="00506728" w:rsidRDefault="00506728" w:rsidP="002D7D58">
      <w:pPr>
        <w:spacing w:line="240" w:lineRule="auto"/>
        <w:contextualSpacing/>
        <w:rPr>
          <w:b/>
        </w:rPr>
      </w:pPr>
    </w:p>
    <w:p w14:paraId="7CF808FC" w14:textId="62A41063" w:rsidR="00660C4D" w:rsidRPr="00E85485" w:rsidRDefault="00EB5980" w:rsidP="00660C4D">
      <w:pPr>
        <w:spacing w:before="100" w:beforeAutospacing="1" w:after="100" w:afterAutospacing="1" w:line="240" w:lineRule="auto"/>
        <w:contextualSpacing/>
        <w:rPr>
          <w:rFonts w:ascii="Calibri" w:hAnsi="Calibri" w:cs="Comic Sans MS"/>
          <w:bCs/>
          <w:sz w:val="24"/>
          <w:szCs w:val="24"/>
        </w:rPr>
      </w:pPr>
      <w:r w:rsidRPr="00E85485">
        <w:rPr>
          <w:sz w:val="24"/>
          <w:szCs w:val="24"/>
        </w:rPr>
        <w:t>The course is designed to support college level research.</w:t>
      </w:r>
      <w:r>
        <w:rPr>
          <w:sz w:val="24"/>
          <w:szCs w:val="24"/>
        </w:rPr>
        <w:t xml:space="preserve"> </w:t>
      </w:r>
      <w:r w:rsidR="001A48BD" w:rsidRPr="00E85485">
        <w:rPr>
          <w:sz w:val="24"/>
          <w:szCs w:val="24"/>
        </w:rPr>
        <w:t>T</w:t>
      </w:r>
      <w:r w:rsidR="00660C4D" w:rsidRPr="00E85485">
        <w:rPr>
          <w:sz w:val="24"/>
          <w:szCs w:val="24"/>
        </w:rPr>
        <w:t>he number of INCO courses offered decreased due to low enrollment</w:t>
      </w:r>
      <w:r w:rsidR="00BA5B06" w:rsidRPr="00E85485">
        <w:rPr>
          <w:sz w:val="24"/>
          <w:szCs w:val="24"/>
        </w:rPr>
        <w:t xml:space="preserve"> again this year</w:t>
      </w:r>
      <w:r w:rsidR="00660C4D" w:rsidRPr="00E85485">
        <w:rPr>
          <w:sz w:val="24"/>
          <w:szCs w:val="24"/>
        </w:rPr>
        <w:t>.</w:t>
      </w:r>
      <w:r w:rsidR="00F86ADC">
        <w:rPr>
          <w:sz w:val="24"/>
          <w:szCs w:val="24"/>
        </w:rPr>
        <w:t xml:space="preserve"> The</w:t>
      </w:r>
      <w:r w:rsidR="00660C4D" w:rsidRPr="00E85485">
        <w:rPr>
          <w:sz w:val="24"/>
          <w:szCs w:val="24"/>
        </w:rPr>
        <w:t xml:space="preserve"> course </w:t>
      </w:r>
      <w:r w:rsidR="00F86ADC">
        <w:rPr>
          <w:sz w:val="24"/>
          <w:szCs w:val="24"/>
        </w:rPr>
        <w:t>becomes</w:t>
      </w:r>
      <w:r w:rsidR="00660C4D" w:rsidRPr="00E85485">
        <w:rPr>
          <w:sz w:val="24"/>
          <w:szCs w:val="24"/>
        </w:rPr>
        <w:t xml:space="preserve"> </w:t>
      </w:r>
      <w:r w:rsidR="00F86ADC">
        <w:rPr>
          <w:sz w:val="24"/>
          <w:szCs w:val="24"/>
        </w:rPr>
        <w:t xml:space="preserve">LIBR 1548 and is </w:t>
      </w:r>
      <w:r w:rsidR="00660C4D" w:rsidRPr="00E85485">
        <w:rPr>
          <w:sz w:val="24"/>
          <w:szCs w:val="24"/>
        </w:rPr>
        <w:t>transferable</w:t>
      </w:r>
      <w:r w:rsidR="00BA5B06" w:rsidRPr="00E85485">
        <w:rPr>
          <w:sz w:val="24"/>
          <w:szCs w:val="24"/>
        </w:rPr>
        <w:t xml:space="preserve"> to both CSUs and UCs</w:t>
      </w:r>
      <w:r w:rsidR="00660C4D" w:rsidRPr="00E85485">
        <w:rPr>
          <w:sz w:val="24"/>
          <w:szCs w:val="24"/>
        </w:rPr>
        <w:t xml:space="preserve"> in fall 20</w:t>
      </w:r>
      <w:r w:rsidR="001A48BD" w:rsidRPr="00E85485">
        <w:rPr>
          <w:sz w:val="24"/>
          <w:szCs w:val="24"/>
        </w:rPr>
        <w:t>22</w:t>
      </w:r>
      <w:r w:rsidR="00F86ADC">
        <w:rPr>
          <w:sz w:val="24"/>
          <w:szCs w:val="24"/>
        </w:rPr>
        <w:t>.</w:t>
      </w:r>
      <w:r>
        <w:rPr>
          <w:sz w:val="24"/>
          <w:szCs w:val="24"/>
        </w:rPr>
        <w:t xml:space="preserve"> The textbook will also change to a Zero Textbook Cost option, </w:t>
      </w:r>
      <w:r w:rsidRPr="00EB5980">
        <w:rPr>
          <w:i/>
          <w:iCs/>
          <w:sz w:val="24"/>
          <w:szCs w:val="24"/>
        </w:rPr>
        <w:t>Introduction to College Research</w:t>
      </w:r>
      <w:r>
        <w:rPr>
          <w:sz w:val="24"/>
          <w:szCs w:val="24"/>
        </w:rPr>
        <w:t xml:space="preserve">, written by and for California community college librarians. </w:t>
      </w:r>
    </w:p>
    <w:p w14:paraId="1FECE163" w14:textId="77777777" w:rsidR="00660C4D" w:rsidRPr="00E85485" w:rsidRDefault="00660C4D" w:rsidP="000B680A">
      <w:pPr>
        <w:spacing w:line="240" w:lineRule="auto"/>
        <w:contextualSpacing/>
        <w:rPr>
          <w:sz w:val="24"/>
          <w:szCs w:val="24"/>
        </w:rPr>
      </w:pPr>
    </w:p>
    <w:p w14:paraId="5F000368" w14:textId="5E47A1AA" w:rsidR="00316BDD" w:rsidRPr="00E85485" w:rsidRDefault="00FD1076" w:rsidP="002D7D58">
      <w:pPr>
        <w:spacing w:line="240" w:lineRule="auto"/>
        <w:contextualSpacing/>
        <w:rPr>
          <w:b/>
          <w:sz w:val="24"/>
          <w:szCs w:val="24"/>
        </w:rPr>
      </w:pPr>
      <w:r w:rsidRPr="00E85485">
        <w:rPr>
          <w:b/>
          <w:sz w:val="24"/>
          <w:szCs w:val="24"/>
        </w:rPr>
        <w:t>Student Success</w:t>
      </w:r>
      <w:r w:rsidR="00506728" w:rsidRPr="00E85485">
        <w:rPr>
          <w:b/>
          <w:sz w:val="24"/>
          <w:szCs w:val="24"/>
        </w:rPr>
        <w:t xml:space="preserve"> Data:</w:t>
      </w:r>
    </w:p>
    <w:p w14:paraId="7D11D8E9" w14:textId="3AB27CF8" w:rsidR="009C6A63" w:rsidRPr="00E85485" w:rsidRDefault="009C6A63" w:rsidP="002D7D58">
      <w:pPr>
        <w:spacing w:line="240" w:lineRule="auto"/>
        <w:contextualSpacing/>
        <w:rPr>
          <w:b/>
          <w:sz w:val="24"/>
          <w:szCs w:val="24"/>
        </w:rPr>
      </w:pPr>
    </w:p>
    <w:p w14:paraId="6C70F674" w14:textId="3DBDD60A" w:rsidR="009C6A63" w:rsidRPr="00E85485" w:rsidRDefault="009C6A63" w:rsidP="002D7D58">
      <w:pPr>
        <w:spacing w:line="240" w:lineRule="auto"/>
        <w:contextualSpacing/>
        <w:rPr>
          <w:b/>
          <w:sz w:val="24"/>
          <w:szCs w:val="24"/>
        </w:rPr>
      </w:pPr>
      <w:r w:rsidRPr="00E85485">
        <w:rPr>
          <w:b/>
          <w:sz w:val="24"/>
          <w:szCs w:val="24"/>
        </w:rPr>
        <w:t>Taft College AY 2018-19 – AY 2021-22 Course Success Rates with 80% Rule</w:t>
      </w:r>
    </w:p>
    <w:p w14:paraId="36C903EB" w14:textId="069678E5" w:rsidR="009C6A63" w:rsidRPr="00E85485" w:rsidRDefault="009C6A63" w:rsidP="002D7D58">
      <w:pPr>
        <w:spacing w:line="240" w:lineRule="auto"/>
        <w:contextualSpacing/>
        <w:rPr>
          <w:b/>
          <w:sz w:val="24"/>
          <w:szCs w:val="24"/>
        </w:rPr>
      </w:pPr>
      <w:r w:rsidRPr="00E85485">
        <w:rPr>
          <w:b/>
          <w:sz w:val="24"/>
          <w:szCs w:val="24"/>
        </w:rPr>
        <w:t>Division: LRN – Learning Support</w:t>
      </w:r>
    </w:p>
    <w:p w14:paraId="55A89B18" w14:textId="77777777" w:rsidR="009C6A63" w:rsidRDefault="009C6A63" w:rsidP="002D7D58">
      <w:pPr>
        <w:spacing w:line="240" w:lineRule="auto"/>
        <w:contextualSpacing/>
        <w:rPr>
          <w:b/>
        </w:rPr>
      </w:pPr>
    </w:p>
    <w:tbl>
      <w:tblPr>
        <w:tblW w:w="9643" w:type="dxa"/>
        <w:tblLook w:val="04A0" w:firstRow="1" w:lastRow="0" w:firstColumn="1" w:lastColumn="0" w:noHBand="0" w:noVBand="1"/>
      </w:tblPr>
      <w:tblGrid>
        <w:gridCol w:w="1071"/>
        <w:gridCol w:w="1071"/>
        <w:gridCol w:w="1071"/>
        <w:gridCol w:w="1071"/>
        <w:gridCol w:w="1073"/>
        <w:gridCol w:w="1071"/>
        <w:gridCol w:w="1071"/>
        <w:gridCol w:w="1071"/>
        <w:gridCol w:w="1073"/>
      </w:tblGrid>
      <w:tr w:rsidR="009C6A63" w:rsidRPr="009C6A63" w14:paraId="74ACEAF9" w14:textId="77777777" w:rsidTr="009C6A63">
        <w:trPr>
          <w:trHeight w:val="355"/>
        </w:trPr>
        <w:tc>
          <w:tcPr>
            <w:tcW w:w="1071" w:type="dxa"/>
            <w:vMerge w:val="restart"/>
            <w:tcBorders>
              <w:top w:val="single" w:sz="8" w:space="0" w:color="auto"/>
              <w:left w:val="single" w:sz="8" w:space="0" w:color="auto"/>
              <w:bottom w:val="single" w:sz="4" w:space="0" w:color="auto"/>
              <w:right w:val="nil"/>
            </w:tcBorders>
            <w:shd w:val="clear" w:color="000000" w:fill="002060"/>
            <w:noWrap/>
            <w:vAlign w:val="center"/>
            <w:hideMark/>
          </w:tcPr>
          <w:p w14:paraId="08962466" w14:textId="77777777" w:rsidR="009C6A63" w:rsidRPr="009C6A63" w:rsidRDefault="009C6A63" w:rsidP="009C6A63">
            <w:pPr>
              <w:spacing w:after="0" w:line="240" w:lineRule="auto"/>
              <w:rPr>
                <w:rFonts w:ascii="Calibri" w:eastAsia="Times New Roman" w:hAnsi="Calibri" w:cs="Calibri"/>
                <w:b/>
                <w:bCs/>
                <w:color w:val="FFFFFF"/>
              </w:rPr>
            </w:pPr>
            <w:r w:rsidRPr="009C6A63">
              <w:rPr>
                <w:rFonts w:ascii="Calibri" w:eastAsia="Times New Roman" w:hAnsi="Calibri" w:cs="Calibri"/>
                <w:b/>
                <w:bCs/>
                <w:color w:val="FFFFFF"/>
              </w:rPr>
              <w:lastRenderedPageBreak/>
              <w:t>Course</w:t>
            </w:r>
          </w:p>
        </w:tc>
        <w:tc>
          <w:tcPr>
            <w:tcW w:w="4286" w:type="dxa"/>
            <w:gridSpan w:val="4"/>
            <w:tcBorders>
              <w:top w:val="single" w:sz="8" w:space="0" w:color="auto"/>
              <w:left w:val="single" w:sz="4" w:space="0" w:color="auto"/>
              <w:bottom w:val="single" w:sz="4" w:space="0" w:color="auto"/>
              <w:right w:val="single" w:sz="8" w:space="0" w:color="000000"/>
            </w:tcBorders>
            <w:shd w:val="clear" w:color="000000" w:fill="002060"/>
            <w:noWrap/>
            <w:vAlign w:val="bottom"/>
            <w:hideMark/>
          </w:tcPr>
          <w:p w14:paraId="02FF193A" w14:textId="77777777" w:rsidR="009C6A63" w:rsidRPr="009C6A63" w:rsidRDefault="009C6A63" w:rsidP="009C6A63">
            <w:pPr>
              <w:spacing w:after="0" w:line="240" w:lineRule="auto"/>
              <w:rPr>
                <w:rFonts w:ascii="Calibri" w:eastAsia="Times New Roman" w:hAnsi="Calibri" w:cs="Calibri"/>
                <w:b/>
                <w:bCs/>
                <w:color w:val="FFFFFF"/>
              </w:rPr>
            </w:pPr>
            <w:r w:rsidRPr="009C6A63">
              <w:rPr>
                <w:rFonts w:ascii="Calibri" w:eastAsia="Times New Roman" w:hAnsi="Calibri" w:cs="Calibri"/>
                <w:b/>
                <w:bCs/>
                <w:color w:val="FFFFFF"/>
              </w:rPr>
              <w:t> </w:t>
            </w:r>
          </w:p>
        </w:tc>
        <w:tc>
          <w:tcPr>
            <w:tcW w:w="4286" w:type="dxa"/>
            <w:gridSpan w:val="4"/>
            <w:tcBorders>
              <w:top w:val="single" w:sz="8" w:space="0" w:color="auto"/>
              <w:left w:val="single" w:sz="4" w:space="0" w:color="auto"/>
              <w:bottom w:val="single" w:sz="4" w:space="0" w:color="auto"/>
              <w:right w:val="single" w:sz="8" w:space="0" w:color="000000"/>
            </w:tcBorders>
            <w:shd w:val="clear" w:color="000000" w:fill="002060"/>
            <w:noWrap/>
            <w:vAlign w:val="bottom"/>
            <w:hideMark/>
          </w:tcPr>
          <w:p w14:paraId="0F777414" w14:textId="77777777" w:rsidR="009C6A63" w:rsidRPr="009C6A63" w:rsidRDefault="009C6A63" w:rsidP="009C6A63">
            <w:pPr>
              <w:spacing w:after="0" w:line="240" w:lineRule="auto"/>
              <w:rPr>
                <w:rFonts w:ascii="Calibri" w:eastAsia="Times New Roman" w:hAnsi="Calibri" w:cs="Calibri"/>
                <w:b/>
                <w:bCs/>
                <w:color w:val="FFFFFF"/>
              </w:rPr>
            </w:pPr>
            <w:r w:rsidRPr="009C6A63">
              <w:rPr>
                <w:rFonts w:ascii="Calibri" w:eastAsia="Times New Roman" w:hAnsi="Calibri" w:cs="Calibri"/>
                <w:b/>
                <w:bCs/>
                <w:color w:val="FFFFFF"/>
              </w:rPr>
              <w:t> </w:t>
            </w:r>
          </w:p>
        </w:tc>
      </w:tr>
      <w:tr w:rsidR="009C6A63" w:rsidRPr="009C6A63" w14:paraId="0B48B42D" w14:textId="77777777" w:rsidTr="009C6A63">
        <w:trPr>
          <w:trHeight w:val="355"/>
        </w:trPr>
        <w:tc>
          <w:tcPr>
            <w:tcW w:w="1071" w:type="dxa"/>
            <w:vMerge/>
            <w:tcBorders>
              <w:top w:val="single" w:sz="8" w:space="0" w:color="auto"/>
              <w:left w:val="single" w:sz="8" w:space="0" w:color="auto"/>
              <w:bottom w:val="single" w:sz="4" w:space="0" w:color="auto"/>
              <w:right w:val="nil"/>
            </w:tcBorders>
            <w:vAlign w:val="center"/>
            <w:hideMark/>
          </w:tcPr>
          <w:p w14:paraId="28BF3CC8" w14:textId="77777777" w:rsidR="009C6A63" w:rsidRPr="009C6A63" w:rsidRDefault="009C6A63" w:rsidP="009C6A63">
            <w:pPr>
              <w:spacing w:after="0" w:line="240" w:lineRule="auto"/>
              <w:rPr>
                <w:rFonts w:ascii="Calibri" w:eastAsia="Times New Roman" w:hAnsi="Calibri" w:cs="Calibri"/>
                <w:b/>
                <w:bCs/>
                <w:color w:val="FFFFFF"/>
              </w:rPr>
            </w:pPr>
          </w:p>
        </w:tc>
        <w:tc>
          <w:tcPr>
            <w:tcW w:w="1071" w:type="dxa"/>
            <w:tcBorders>
              <w:top w:val="nil"/>
              <w:left w:val="single" w:sz="4" w:space="0" w:color="auto"/>
              <w:bottom w:val="single" w:sz="4" w:space="0" w:color="auto"/>
              <w:right w:val="single" w:sz="4" w:space="0" w:color="auto"/>
            </w:tcBorders>
            <w:shd w:val="clear" w:color="000000" w:fill="002060"/>
            <w:noWrap/>
            <w:vAlign w:val="center"/>
            <w:hideMark/>
          </w:tcPr>
          <w:p w14:paraId="4B8B94E7" w14:textId="77777777" w:rsidR="009C6A63" w:rsidRPr="009C6A63" w:rsidRDefault="009C6A63" w:rsidP="009C6A63">
            <w:pPr>
              <w:spacing w:after="0" w:line="240" w:lineRule="auto"/>
              <w:jc w:val="center"/>
              <w:rPr>
                <w:rFonts w:ascii="Calibri" w:eastAsia="Times New Roman" w:hAnsi="Calibri" w:cs="Calibri"/>
                <w:b/>
                <w:bCs/>
                <w:color w:val="FFFFFF"/>
              </w:rPr>
            </w:pPr>
            <w:r w:rsidRPr="009C6A63">
              <w:rPr>
                <w:rFonts w:ascii="Calibri" w:eastAsia="Times New Roman" w:hAnsi="Calibri" w:cs="Calibri"/>
                <w:b/>
                <w:bCs/>
                <w:color w:val="FFFFFF"/>
              </w:rPr>
              <w:t>2018-2019</w:t>
            </w:r>
          </w:p>
        </w:tc>
        <w:tc>
          <w:tcPr>
            <w:tcW w:w="1071" w:type="dxa"/>
            <w:tcBorders>
              <w:top w:val="nil"/>
              <w:left w:val="nil"/>
              <w:bottom w:val="single" w:sz="4" w:space="0" w:color="auto"/>
              <w:right w:val="single" w:sz="4" w:space="0" w:color="auto"/>
            </w:tcBorders>
            <w:shd w:val="clear" w:color="000000" w:fill="002060"/>
            <w:noWrap/>
            <w:vAlign w:val="center"/>
            <w:hideMark/>
          </w:tcPr>
          <w:p w14:paraId="44DC505D" w14:textId="77777777" w:rsidR="009C6A63" w:rsidRPr="009C6A63" w:rsidRDefault="009C6A63" w:rsidP="009C6A63">
            <w:pPr>
              <w:spacing w:after="0" w:line="240" w:lineRule="auto"/>
              <w:jc w:val="center"/>
              <w:rPr>
                <w:rFonts w:ascii="Calibri" w:eastAsia="Times New Roman" w:hAnsi="Calibri" w:cs="Calibri"/>
                <w:b/>
                <w:bCs/>
                <w:color w:val="FFFFFF"/>
              </w:rPr>
            </w:pPr>
            <w:r w:rsidRPr="009C6A63">
              <w:rPr>
                <w:rFonts w:ascii="Calibri" w:eastAsia="Times New Roman" w:hAnsi="Calibri" w:cs="Calibri"/>
                <w:b/>
                <w:bCs/>
                <w:color w:val="FFFFFF"/>
              </w:rPr>
              <w:t>2019-2020</w:t>
            </w:r>
          </w:p>
        </w:tc>
        <w:tc>
          <w:tcPr>
            <w:tcW w:w="1071" w:type="dxa"/>
            <w:tcBorders>
              <w:top w:val="nil"/>
              <w:left w:val="nil"/>
              <w:bottom w:val="single" w:sz="4" w:space="0" w:color="auto"/>
              <w:right w:val="single" w:sz="4" w:space="0" w:color="auto"/>
            </w:tcBorders>
            <w:shd w:val="clear" w:color="000000" w:fill="002060"/>
            <w:noWrap/>
            <w:vAlign w:val="center"/>
            <w:hideMark/>
          </w:tcPr>
          <w:p w14:paraId="5303CF95" w14:textId="77777777" w:rsidR="009C6A63" w:rsidRPr="009C6A63" w:rsidRDefault="009C6A63" w:rsidP="009C6A63">
            <w:pPr>
              <w:spacing w:after="0" w:line="240" w:lineRule="auto"/>
              <w:jc w:val="center"/>
              <w:rPr>
                <w:rFonts w:ascii="Calibri" w:eastAsia="Times New Roman" w:hAnsi="Calibri" w:cs="Calibri"/>
                <w:b/>
                <w:bCs/>
                <w:color w:val="FFFFFF"/>
              </w:rPr>
            </w:pPr>
            <w:r w:rsidRPr="009C6A63">
              <w:rPr>
                <w:rFonts w:ascii="Calibri" w:eastAsia="Times New Roman" w:hAnsi="Calibri" w:cs="Calibri"/>
                <w:b/>
                <w:bCs/>
                <w:color w:val="FFFFFF"/>
              </w:rPr>
              <w:t>2020-2021</w:t>
            </w:r>
          </w:p>
        </w:tc>
        <w:tc>
          <w:tcPr>
            <w:tcW w:w="1071" w:type="dxa"/>
            <w:tcBorders>
              <w:top w:val="nil"/>
              <w:left w:val="nil"/>
              <w:bottom w:val="single" w:sz="4" w:space="0" w:color="auto"/>
              <w:right w:val="single" w:sz="8" w:space="0" w:color="auto"/>
            </w:tcBorders>
            <w:shd w:val="clear" w:color="000000" w:fill="002060"/>
            <w:noWrap/>
            <w:vAlign w:val="center"/>
            <w:hideMark/>
          </w:tcPr>
          <w:p w14:paraId="543F7220" w14:textId="77777777" w:rsidR="009C6A63" w:rsidRPr="009C6A63" w:rsidRDefault="009C6A63" w:rsidP="009C6A63">
            <w:pPr>
              <w:spacing w:after="0" w:line="240" w:lineRule="auto"/>
              <w:jc w:val="center"/>
              <w:rPr>
                <w:rFonts w:ascii="Calibri" w:eastAsia="Times New Roman" w:hAnsi="Calibri" w:cs="Calibri"/>
                <w:b/>
                <w:bCs/>
                <w:color w:val="FFFFFF"/>
              </w:rPr>
            </w:pPr>
            <w:r w:rsidRPr="009C6A63">
              <w:rPr>
                <w:rFonts w:ascii="Calibri" w:eastAsia="Times New Roman" w:hAnsi="Calibri" w:cs="Calibri"/>
                <w:b/>
                <w:bCs/>
                <w:color w:val="FFFFFF"/>
              </w:rPr>
              <w:t>2021-2022</w:t>
            </w:r>
          </w:p>
        </w:tc>
        <w:tc>
          <w:tcPr>
            <w:tcW w:w="1071" w:type="dxa"/>
            <w:tcBorders>
              <w:top w:val="nil"/>
              <w:left w:val="single" w:sz="4" w:space="0" w:color="auto"/>
              <w:bottom w:val="single" w:sz="4" w:space="0" w:color="auto"/>
              <w:right w:val="single" w:sz="4" w:space="0" w:color="auto"/>
            </w:tcBorders>
            <w:shd w:val="clear" w:color="000000" w:fill="002060"/>
            <w:noWrap/>
            <w:vAlign w:val="center"/>
            <w:hideMark/>
          </w:tcPr>
          <w:p w14:paraId="210A1E27" w14:textId="77777777" w:rsidR="009C6A63" w:rsidRPr="009C6A63" w:rsidRDefault="009C6A63" w:rsidP="009C6A63">
            <w:pPr>
              <w:spacing w:after="0" w:line="240" w:lineRule="auto"/>
              <w:jc w:val="center"/>
              <w:rPr>
                <w:rFonts w:ascii="Calibri" w:eastAsia="Times New Roman" w:hAnsi="Calibri" w:cs="Calibri"/>
                <w:b/>
                <w:bCs/>
                <w:color w:val="FFFFFF"/>
              </w:rPr>
            </w:pPr>
            <w:r w:rsidRPr="009C6A63">
              <w:rPr>
                <w:rFonts w:ascii="Calibri" w:eastAsia="Times New Roman" w:hAnsi="Calibri" w:cs="Calibri"/>
                <w:b/>
                <w:bCs/>
                <w:color w:val="FFFFFF"/>
              </w:rPr>
              <w:t>2018-2019</w:t>
            </w:r>
          </w:p>
        </w:tc>
        <w:tc>
          <w:tcPr>
            <w:tcW w:w="1071" w:type="dxa"/>
            <w:tcBorders>
              <w:top w:val="nil"/>
              <w:left w:val="nil"/>
              <w:bottom w:val="single" w:sz="4" w:space="0" w:color="auto"/>
              <w:right w:val="single" w:sz="4" w:space="0" w:color="auto"/>
            </w:tcBorders>
            <w:shd w:val="clear" w:color="000000" w:fill="002060"/>
            <w:noWrap/>
            <w:vAlign w:val="center"/>
            <w:hideMark/>
          </w:tcPr>
          <w:p w14:paraId="1C33808F" w14:textId="77777777" w:rsidR="009C6A63" w:rsidRPr="009C6A63" w:rsidRDefault="009C6A63" w:rsidP="009C6A63">
            <w:pPr>
              <w:spacing w:after="0" w:line="240" w:lineRule="auto"/>
              <w:jc w:val="center"/>
              <w:rPr>
                <w:rFonts w:ascii="Calibri" w:eastAsia="Times New Roman" w:hAnsi="Calibri" w:cs="Calibri"/>
                <w:b/>
                <w:bCs/>
                <w:color w:val="FFFFFF"/>
              </w:rPr>
            </w:pPr>
            <w:r w:rsidRPr="009C6A63">
              <w:rPr>
                <w:rFonts w:ascii="Calibri" w:eastAsia="Times New Roman" w:hAnsi="Calibri" w:cs="Calibri"/>
                <w:b/>
                <w:bCs/>
                <w:color w:val="FFFFFF"/>
              </w:rPr>
              <w:t>2019-2020</w:t>
            </w:r>
          </w:p>
        </w:tc>
        <w:tc>
          <w:tcPr>
            <w:tcW w:w="1071" w:type="dxa"/>
            <w:tcBorders>
              <w:top w:val="nil"/>
              <w:left w:val="nil"/>
              <w:bottom w:val="single" w:sz="4" w:space="0" w:color="auto"/>
              <w:right w:val="single" w:sz="4" w:space="0" w:color="auto"/>
            </w:tcBorders>
            <w:shd w:val="clear" w:color="000000" w:fill="002060"/>
            <w:noWrap/>
            <w:vAlign w:val="center"/>
            <w:hideMark/>
          </w:tcPr>
          <w:p w14:paraId="7ED79EE0" w14:textId="77777777" w:rsidR="009C6A63" w:rsidRPr="009C6A63" w:rsidRDefault="009C6A63" w:rsidP="009C6A63">
            <w:pPr>
              <w:spacing w:after="0" w:line="240" w:lineRule="auto"/>
              <w:jc w:val="center"/>
              <w:rPr>
                <w:rFonts w:ascii="Calibri" w:eastAsia="Times New Roman" w:hAnsi="Calibri" w:cs="Calibri"/>
                <w:b/>
                <w:bCs/>
                <w:color w:val="FFFFFF"/>
              </w:rPr>
            </w:pPr>
            <w:r w:rsidRPr="009C6A63">
              <w:rPr>
                <w:rFonts w:ascii="Calibri" w:eastAsia="Times New Roman" w:hAnsi="Calibri" w:cs="Calibri"/>
                <w:b/>
                <w:bCs/>
                <w:color w:val="FFFFFF"/>
              </w:rPr>
              <w:t>2020-2021</w:t>
            </w:r>
          </w:p>
        </w:tc>
        <w:tc>
          <w:tcPr>
            <w:tcW w:w="1071" w:type="dxa"/>
            <w:tcBorders>
              <w:top w:val="nil"/>
              <w:left w:val="nil"/>
              <w:bottom w:val="single" w:sz="4" w:space="0" w:color="auto"/>
              <w:right w:val="single" w:sz="8" w:space="0" w:color="auto"/>
            </w:tcBorders>
            <w:shd w:val="clear" w:color="000000" w:fill="002060"/>
            <w:noWrap/>
            <w:vAlign w:val="center"/>
            <w:hideMark/>
          </w:tcPr>
          <w:p w14:paraId="30F6E8AB" w14:textId="77777777" w:rsidR="009C6A63" w:rsidRPr="009C6A63" w:rsidRDefault="009C6A63" w:rsidP="009C6A63">
            <w:pPr>
              <w:spacing w:after="0" w:line="240" w:lineRule="auto"/>
              <w:jc w:val="center"/>
              <w:rPr>
                <w:rFonts w:ascii="Calibri" w:eastAsia="Times New Roman" w:hAnsi="Calibri" w:cs="Calibri"/>
                <w:b/>
                <w:bCs/>
                <w:color w:val="FFFFFF"/>
              </w:rPr>
            </w:pPr>
            <w:r w:rsidRPr="009C6A63">
              <w:rPr>
                <w:rFonts w:ascii="Calibri" w:eastAsia="Times New Roman" w:hAnsi="Calibri" w:cs="Calibri"/>
                <w:b/>
                <w:bCs/>
                <w:color w:val="FFFFFF"/>
              </w:rPr>
              <w:t>2021-2022</w:t>
            </w:r>
          </w:p>
        </w:tc>
      </w:tr>
    </w:tbl>
    <w:tbl>
      <w:tblPr>
        <w:tblpPr w:leftFromText="180" w:rightFromText="180" w:vertAnchor="text" w:horzAnchor="margin" w:tblpY="131"/>
        <w:tblW w:w="9620" w:type="dxa"/>
        <w:tblLook w:val="04A0" w:firstRow="1" w:lastRow="0" w:firstColumn="1" w:lastColumn="0" w:noHBand="0" w:noVBand="1"/>
      </w:tblPr>
      <w:tblGrid>
        <w:gridCol w:w="1370"/>
        <w:gridCol w:w="780"/>
        <w:gridCol w:w="1080"/>
        <w:gridCol w:w="990"/>
        <w:gridCol w:w="1170"/>
        <w:gridCol w:w="1080"/>
        <w:gridCol w:w="990"/>
        <w:gridCol w:w="1080"/>
        <w:gridCol w:w="1080"/>
      </w:tblGrid>
      <w:tr w:rsidR="009C6A63" w:rsidRPr="005A1DDE" w14:paraId="475690C3" w14:textId="77777777" w:rsidTr="009C6A63">
        <w:trPr>
          <w:trHeight w:val="700"/>
        </w:trPr>
        <w:tc>
          <w:tcPr>
            <w:tcW w:w="1370" w:type="dxa"/>
            <w:tcBorders>
              <w:top w:val="single" w:sz="4" w:space="0" w:color="auto"/>
              <w:left w:val="single" w:sz="8" w:space="0" w:color="auto"/>
              <w:bottom w:val="single" w:sz="4" w:space="0" w:color="auto"/>
              <w:right w:val="nil"/>
            </w:tcBorders>
            <w:shd w:val="clear" w:color="auto" w:fill="auto"/>
            <w:noWrap/>
            <w:vAlign w:val="center"/>
            <w:hideMark/>
          </w:tcPr>
          <w:p w14:paraId="544BEA58" w14:textId="77777777" w:rsidR="009C6A63" w:rsidRPr="005A1DDE" w:rsidRDefault="009C6A63" w:rsidP="009C6A63">
            <w:pPr>
              <w:spacing w:after="0" w:line="240" w:lineRule="auto"/>
              <w:jc w:val="both"/>
              <w:rPr>
                <w:rFonts w:ascii="Calibri" w:eastAsia="Times New Roman" w:hAnsi="Calibri" w:cs="Calibri"/>
                <w:sz w:val="28"/>
                <w:szCs w:val="28"/>
              </w:rPr>
            </w:pPr>
            <w:bookmarkStart w:id="0" w:name="_Hlk125360069"/>
            <w:r w:rsidRPr="005A1DDE">
              <w:rPr>
                <w:rFonts w:ascii="Calibri" w:eastAsia="Times New Roman" w:hAnsi="Calibri" w:cs="Calibri"/>
                <w:sz w:val="28"/>
                <w:szCs w:val="28"/>
              </w:rPr>
              <w:t>INCO1048</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A1818" w14:textId="77777777" w:rsidR="009C6A63" w:rsidRPr="005A1DDE" w:rsidRDefault="009C6A63" w:rsidP="009C6A63">
            <w:pPr>
              <w:spacing w:after="0" w:line="240" w:lineRule="auto"/>
              <w:contextualSpacing/>
              <w:jc w:val="right"/>
              <w:rPr>
                <w:rFonts w:ascii="Calibri" w:eastAsia="Times New Roman" w:hAnsi="Calibri" w:cs="Calibri"/>
                <w:sz w:val="28"/>
                <w:szCs w:val="28"/>
              </w:rPr>
            </w:pPr>
            <w:r w:rsidRPr="005A1DDE">
              <w:rPr>
                <w:rFonts w:ascii="Calibri" w:eastAsia="Times New Roman" w:hAnsi="Calibri" w:cs="Calibri"/>
                <w:sz w:val="28"/>
                <w:szCs w:val="28"/>
              </w:rPr>
              <w:t>477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42B40AA" w14:textId="77777777" w:rsidR="009C6A63" w:rsidRPr="005A1DDE" w:rsidRDefault="009C6A63" w:rsidP="009C6A63">
            <w:pPr>
              <w:spacing w:after="0" w:line="240" w:lineRule="auto"/>
              <w:contextualSpacing/>
              <w:jc w:val="right"/>
              <w:rPr>
                <w:rFonts w:ascii="Calibri" w:eastAsia="Times New Roman" w:hAnsi="Calibri" w:cs="Calibri"/>
                <w:sz w:val="28"/>
                <w:szCs w:val="28"/>
              </w:rPr>
            </w:pPr>
            <w:r w:rsidRPr="005A1DDE">
              <w:rPr>
                <w:rFonts w:ascii="Calibri" w:eastAsia="Times New Roman" w:hAnsi="Calibri" w:cs="Calibri"/>
                <w:sz w:val="28"/>
                <w:szCs w:val="28"/>
              </w:rPr>
              <w:t>363</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2A5C7B9F" w14:textId="77777777" w:rsidR="009C6A63" w:rsidRPr="005A1DDE" w:rsidRDefault="009C6A63" w:rsidP="009C6A63">
            <w:pPr>
              <w:spacing w:after="0" w:line="240" w:lineRule="auto"/>
              <w:contextualSpacing/>
              <w:jc w:val="right"/>
              <w:rPr>
                <w:rFonts w:ascii="Calibri" w:eastAsia="Times New Roman" w:hAnsi="Calibri" w:cs="Calibri"/>
                <w:sz w:val="28"/>
                <w:szCs w:val="28"/>
              </w:rPr>
            </w:pPr>
            <w:r w:rsidRPr="005A1DDE">
              <w:rPr>
                <w:rFonts w:ascii="Calibri" w:eastAsia="Times New Roman" w:hAnsi="Calibri" w:cs="Calibri"/>
                <w:sz w:val="28"/>
                <w:szCs w:val="28"/>
              </w:rPr>
              <w:t>256</w:t>
            </w:r>
          </w:p>
        </w:tc>
        <w:tc>
          <w:tcPr>
            <w:tcW w:w="1170" w:type="dxa"/>
            <w:tcBorders>
              <w:top w:val="single" w:sz="4" w:space="0" w:color="auto"/>
              <w:left w:val="nil"/>
              <w:bottom w:val="single" w:sz="4" w:space="0" w:color="auto"/>
              <w:right w:val="single" w:sz="8" w:space="0" w:color="auto"/>
            </w:tcBorders>
            <w:shd w:val="clear" w:color="auto" w:fill="auto"/>
            <w:noWrap/>
            <w:vAlign w:val="center"/>
            <w:hideMark/>
          </w:tcPr>
          <w:p w14:paraId="38FF4FA4" w14:textId="77777777" w:rsidR="009C6A63" w:rsidRPr="005A1DDE" w:rsidRDefault="009C6A63" w:rsidP="009C6A63">
            <w:pPr>
              <w:spacing w:after="0" w:line="240" w:lineRule="auto"/>
              <w:contextualSpacing/>
              <w:jc w:val="right"/>
              <w:rPr>
                <w:rFonts w:ascii="Calibri" w:eastAsia="Times New Roman" w:hAnsi="Calibri" w:cs="Calibri"/>
                <w:sz w:val="28"/>
                <w:szCs w:val="28"/>
              </w:rPr>
            </w:pPr>
            <w:r w:rsidRPr="005A1DDE">
              <w:rPr>
                <w:rFonts w:ascii="Calibri" w:eastAsia="Times New Roman" w:hAnsi="Calibri" w:cs="Calibri"/>
                <w:sz w:val="28"/>
                <w:szCs w:val="28"/>
              </w:rPr>
              <w:t>213</w:t>
            </w:r>
          </w:p>
        </w:tc>
        <w:tc>
          <w:tcPr>
            <w:tcW w:w="108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59F07FE" w14:textId="77777777" w:rsidR="009C6A63" w:rsidRPr="005A1DDE" w:rsidRDefault="009C6A63" w:rsidP="009C6A63">
            <w:pPr>
              <w:spacing w:after="0" w:line="240" w:lineRule="auto"/>
              <w:contextualSpacing/>
              <w:jc w:val="right"/>
              <w:rPr>
                <w:rFonts w:ascii="Calibri" w:eastAsia="Times New Roman" w:hAnsi="Calibri" w:cs="Calibri"/>
                <w:sz w:val="28"/>
                <w:szCs w:val="28"/>
              </w:rPr>
            </w:pPr>
            <w:r w:rsidRPr="005A1DDE">
              <w:rPr>
                <w:rFonts w:ascii="Calibri" w:eastAsia="Times New Roman" w:hAnsi="Calibri" w:cs="Calibri"/>
                <w:sz w:val="28"/>
                <w:szCs w:val="28"/>
              </w:rPr>
              <w:t>66.2%</w:t>
            </w:r>
          </w:p>
        </w:tc>
        <w:tc>
          <w:tcPr>
            <w:tcW w:w="990" w:type="dxa"/>
            <w:tcBorders>
              <w:top w:val="single" w:sz="4" w:space="0" w:color="auto"/>
              <w:left w:val="nil"/>
              <w:bottom w:val="single" w:sz="4" w:space="0" w:color="auto"/>
              <w:right w:val="single" w:sz="4" w:space="0" w:color="auto"/>
            </w:tcBorders>
            <w:shd w:val="clear" w:color="000000" w:fill="FFFF00"/>
            <w:noWrap/>
            <w:vAlign w:val="center"/>
            <w:hideMark/>
          </w:tcPr>
          <w:p w14:paraId="310264B4" w14:textId="77777777" w:rsidR="009C6A63" w:rsidRPr="005A1DDE" w:rsidRDefault="009C6A63" w:rsidP="009C6A63">
            <w:pPr>
              <w:spacing w:after="0" w:line="240" w:lineRule="auto"/>
              <w:contextualSpacing/>
              <w:jc w:val="right"/>
              <w:rPr>
                <w:rFonts w:ascii="Calibri" w:eastAsia="Times New Roman" w:hAnsi="Calibri" w:cs="Calibri"/>
                <w:sz w:val="28"/>
                <w:szCs w:val="28"/>
              </w:rPr>
            </w:pPr>
            <w:r w:rsidRPr="005A1DDE">
              <w:rPr>
                <w:rFonts w:ascii="Calibri" w:eastAsia="Times New Roman" w:hAnsi="Calibri" w:cs="Calibri"/>
                <w:sz w:val="28"/>
                <w:szCs w:val="28"/>
              </w:rPr>
              <w:t>69.1%</w:t>
            </w:r>
          </w:p>
        </w:tc>
        <w:tc>
          <w:tcPr>
            <w:tcW w:w="1080" w:type="dxa"/>
            <w:tcBorders>
              <w:top w:val="single" w:sz="4" w:space="0" w:color="auto"/>
              <w:left w:val="nil"/>
              <w:bottom w:val="single" w:sz="4" w:space="0" w:color="auto"/>
              <w:right w:val="single" w:sz="4" w:space="0" w:color="auto"/>
            </w:tcBorders>
            <w:shd w:val="clear" w:color="000000" w:fill="FFFF00"/>
            <w:noWrap/>
            <w:vAlign w:val="center"/>
            <w:hideMark/>
          </w:tcPr>
          <w:p w14:paraId="43DE2788" w14:textId="77777777" w:rsidR="009C6A63" w:rsidRPr="005A1DDE" w:rsidRDefault="009C6A63" w:rsidP="009C6A63">
            <w:pPr>
              <w:spacing w:after="0" w:line="240" w:lineRule="auto"/>
              <w:contextualSpacing/>
              <w:jc w:val="right"/>
              <w:rPr>
                <w:rFonts w:ascii="Calibri" w:eastAsia="Times New Roman" w:hAnsi="Calibri" w:cs="Calibri"/>
                <w:sz w:val="28"/>
                <w:szCs w:val="28"/>
              </w:rPr>
            </w:pPr>
            <w:r w:rsidRPr="005A1DDE">
              <w:rPr>
                <w:rFonts w:ascii="Calibri" w:eastAsia="Times New Roman" w:hAnsi="Calibri" w:cs="Calibri"/>
                <w:sz w:val="28"/>
                <w:szCs w:val="28"/>
              </w:rPr>
              <w:t>75.8%</w:t>
            </w:r>
          </w:p>
        </w:tc>
        <w:tc>
          <w:tcPr>
            <w:tcW w:w="1080" w:type="dxa"/>
            <w:tcBorders>
              <w:top w:val="single" w:sz="4" w:space="0" w:color="auto"/>
              <w:left w:val="nil"/>
              <w:bottom w:val="single" w:sz="4" w:space="0" w:color="auto"/>
              <w:right w:val="single" w:sz="8" w:space="0" w:color="auto"/>
            </w:tcBorders>
            <w:shd w:val="clear" w:color="000000" w:fill="FFFF00"/>
            <w:noWrap/>
            <w:vAlign w:val="center"/>
            <w:hideMark/>
          </w:tcPr>
          <w:p w14:paraId="3C9F5397" w14:textId="77777777" w:rsidR="009C6A63" w:rsidRPr="005A1DDE" w:rsidRDefault="009C6A63" w:rsidP="009C6A63">
            <w:pPr>
              <w:spacing w:after="0" w:line="240" w:lineRule="auto"/>
              <w:contextualSpacing/>
              <w:jc w:val="right"/>
              <w:rPr>
                <w:rFonts w:ascii="Calibri" w:eastAsia="Times New Roman" w:hAnsi="Calibri" w:cs="Calibri"/>
                <w:sz w:val="28"/>
                <w:szCs w:val="28"/>
              </w:rPr>
            </w:pPr>
            <w:r w:rsidRPr="005A1DDE">
              <w:rPr>
                <w:rFonts w:ascii="Calibri" w:eastAsia="Times New Roman" w:hAnsi="Calibri" w:cs="Calibri"/>
                <w:sz w:val="28"/>
                <w:szCs w:val="28"/>
              </w:rPr>
              <w:t>69.0%</w:t>
            </w:r>
          </w:p>
        </w:tc>
      </w:tr>
      <w:bookmarkEnd w:id="0"/>
    </w:tbl>
    <w:p w14:paraId="5EB2010F" w14:textId="77777777" w:rsidR="009C6A63" w:rsidRDefault="009C6A63" w:rsidP="002D7D58">
      <w:pPr>
        <w:spacing w:line="240" w:lineRule="auto"/>
        <w:contextualSpacing/>
        <w:rPr>
          <w:b/>
        </w:rPr>
      </w:pPr>
    </w:p>
    <w:p w14:paraId="3D0D79D3" w14:textId="23966B3B" w:rsidR="00A97B16" w:rsidRDefault="00EB5980" w:rsidP="002D7D58">
      <w:pPr>
        <w:spacing w:line="240" w:lineRule="auto"/>
        <w:contextualSpacing/>
        <w:rPr>
          <w:bCs/>
          <w:sz w:val="24"/>
          <w:szCs w:val="24"/>
        </w:rPr>
      </w:pPr>
      <w:r>
        <w:rPr>
          <w:bCs/>
          <w:sz w:val="24"/>
          <w:szCs w:val="24"/>
        </w:rPr>
        <w:t>The data shows that the success rate for INCO classes increased during the pandemic era of 2019/2020 and 2020/2021</w:t>
      </w:r>
      <w:r w:rsidR="0075352E">
        <w:rPr>
          <w:bCs/>
          <w:sz w:val="24"/>
          <w:szCs w:val="24"/>
        </w:rPr>
        <w:t xml:space="preserve"> even though fewer students were taking the course. </w:t>
      </w:r>
      <w:r>
        <w:rPr>
          <w:bCs/>
          <w:sz w:val="24"/>
          <w:szCs w:val="24"/>
        </w:rPr>
        <w:t xml:space="preserve">A possible explanation </w:t>
      </w:r>
      <w:r w:rsidR="005D1E8B">
        <w:rPr>
          <w:bCs/>
          <w:sz w:val="24"/>
          <w:szCs w:val="24"/>
        </w:rPr>
        <w:t>is that</w:t>
      </w:r>
      <w:r>
        <w:rPr>
          <w:bCs/>
          <w:sz w:val="24"/>
          <w:szCs w:val="24"/>
        </w:rPr>
        <w:t xml:space="preserve"> more students passed the online versions of the course more successfully than the face-to-face versions because attendance</w:t>
      </w:r>
      <w:r w:rsidR="005D1E8B">
        <w:rPr>
          <w:bCs/>
          <w:sz w:val="24"/>
          <w:szCs w:val="24"/>
        </w:rPr>
        <w:t xml:space="preserve"> and </w:t>
      </w:r>
      <w:r w:rsidR="001A524A">
        <w:rPr>
          <w:bCs/>
          <w:sz w:val="24"/>
          <w:szCs w:val="24"/>
        </w:rPr>
        <w:t>completion</w:t>
      </w:r>
      <w:r>
        <w:rPr>
          <w:bCs/>
          <w:sz w:val="24"/>
          <w:szCs w:val="24"/>
        </w:rPr>
        <w:t xml:space="preserve"> was more convenient and flexible. The </w:t>
      </w:r>
      <w:r w:rsidR="00741372">
        <w:rPr>
          <w:bCs/>
          <w:sz w:val="24"/>
          <w:szCs w:val="24"/>
        </w:rPr>
        <w:t>post-pandemic year of 2021-2022 shows an increase in success rates above pre-pandemic era</w:t>
      </w:r>
      <w:r w:rsidR="005D1E8B">
        <w:rPr>
          <w:bCs/>
          <w:sz w:val="24"/>
          <w:szCs w:val="24"/>
        </w:rPr>
        <w:t xml:space="preserve"> as well</w:t>
      </w:r>
      <w:r w:rsidR="00741372">
        <w:rPr>
          <w:bCs/>
          <w:sz w:val="24"/>
          <w:szCs w:val="24"/>
        </w:rPr>
        <w:t>, indicating that success rates met the goal of improving 2%</w:t>
      </w:r>
      <w:r w:rsidR="005D1E8B">
        <w:rPr>
          <w:bCs/>
          <w:sz w:val="24"/>
          <w:szCs w:val="24"/>
        </w:rPr>
        <w:t>.</w:t>
      </w:r>
    </w:p>
    <w:p w14:paraId="5C9C736C" w14:textId="7904F0E4" w:rsidR="008349C2" w:rsidRDefault="008349C2" w:rsidP="002D7D58">
      <w:pPr>
        <w:spacing w:line="240" w:lineRule="auto"/>
        <w:contextualSpacing/>
        <w:rPr>
          <w:bCs/>
          <w:sz w:val="24"/>
          <w:szCs w:val="24"/>
        </w:rPr>
      </w:pPr>
    </w:p>
    <w:p w14:paraId="6A67096F" w14:textId="79CF53FC" w:rsidR="00301424" w:rsidRDefault="00301424" w:rsidP="002D7D58">
      <w:pPr>
        <w:spacing w:line="240" w:lineRule="auto"/>
        <w:contextualSpacing/>
        <w:rPr>
          <w:b/>
          <w:bCs/>
        </w:rPr>
      </w:pPr>
      <w:r w:rsidRPr="00301424">
        <w:rPr>
          <w:b/>
          <w:bCs/>
        </w:rPr>
        <w:t>SLO Data</w:t>
      </w:r>
      <w:r>
        <w:rPr>
          <w:b/>
          <w:bCs/>
        </w:rPr>
        <w:t>:</w:t>
      </w:r>
    </w:p>
    <w:p w14:paraId="21D5E1FC" w14:textId="254B48B4" w:rsidR="00A527A7" w:rsidRDefault="00A527A7" w:rsidP="002D7D58">
      <w:pPr>
        <w:spacing w:line="240" w:lineRule="auto"/>
        <w:contextualSpacing/>
        <w:rPr>
          <w:b/>
          <w:bCs/>
        </w:rPr>
      </w:pPr>
    </w:p>
    <w:tbl>
      <w:tblPr>
        <w:tblW w:w="10143" w:type="dxa"/>
        <w:tblLook w:val="04A0" w:firstRow="1" w:lastRow="0" w:firstColumn="1" w:lastColumn="0" w:noHBand="0" w:noVBand="1"/>
      </w:tblPr>
      <w:tblGrid>
        <w:gridCol w:w="269"/>
        <w:gridCol w:w="269"/>
        <w:gridCol w:w="269"/>
        <w:gridCol w:w="222"/>
        <w:gridCol w:w="222"/>
        <w:gridCol w:w="888"/>
        <w:gridCol w:w="482"/>
        <w:gridCol w:w="1011"/>
        <w:gridCol w:w="349"/>
        <w:gridCol w:w="1011"/>
        <w:gridCol w:w="490"/>
        <w:gridCol w:w="1027"/>
        <w:gridCol w:w="490"/>
        <w:gridCol w:w="1027"/>
        <w:gridCol w:w="482"/>
        <w:gridCol w:w="1144"/>
        <w:gridCol w:w="222"/>
        <w:gridCol w:w="269"/>
      </w:tblGrid>
      <w:tr w:rsidR="00A527A7" w:rsidRPr="00A527A7" w14:paraId="4FE99EE8" w14:textId="77777777" w:rsidTr="008349C2">
        <w:trPr>
          <w:trHeight w:val="291"/>
        </w:trPr>
        <w:tc>
          <w:tcPr>
            <w:tcW w:w="10143" w:type="dxa"/>
            <w:gridSpan w:val="18"/>
            <w:tcBorders>
              <w:top w:val="single" w:sz="4" w:space="0" w:color="000000"/>
              <w:left w:val="single" w:sz="4" w:space="0" w:color="000000"/>
              <w:bottom w:val="nil"/>
              <w:right w:val="single" w:sz="4" w:space="0" w:color="000000"/>
            </w:tcBorders>
            <w:shd w:val="clear" w:color="000000" w:fill="CCCCFF"/>
            <w:vAlign w:val="center"/>
            <w:hideMark/>
          </w:tcPr>
          <w:p w14:paraId="2A7E7209" w14:textId="77777777" w:rsidR="00A527A7" w:rsidRPr="00A527A7" w:rsidRDefault="00A527A7" w:rsidP="00A527A7">
            <w:pPr>
              <w:spacing w:after="0" w:line="240" w:lineRule="auto"/>
              <w:rPr>
                <w:rFonts w:ascii="SansSerif" w:eastAsia="Times New Roman" w:hAnsi="SansSerif" w:cs="Arial"/>
                <w:b/>
                <w:bCs/>
                <w:color w:val="000000"/>
                <w:sz w:val="24"/>
                <w:szCs w:val="24"/>
              </w:rPr>
            </w:pPr>
            <w:r w:rsidRPr="00A527A7">
              <w:rPr>
                <w:rFonts w:ascii="SansSerif" w:eastAsia="Times New Roman" w:hAnsi="SansSerif" w:cs="Arial"/>
                <w:b/>
                <w:bCs/>
                <w:color w:val="000000"/>
                <w:sz w:val="24"/>
                <w:szCs w:val="24"/>
              </w:rPr>
              <w:t>INCO1048: Info Competency &amp; Bibliography</w:t>
            </w:r>
          </w:p>
        </w:tc>
      </w:tr>
      <w:tr w:rsidR="00A527A7" w:rsidRPr="00A527A7" w14:paraId="16A13DAF" w14:textId="77777777" w:rsidTr="008349C2">
        <w:trPr>
          <w:trHeight w:val="873"/>
        </w:trPr>
        <w:tc>
          <w:tcPr>
            <w:tcW w:w="269" w:type="dxa"/>
            <w:tcBorders>
              <w:top w:val="nil"/>
              <w:left w:val="single" w:sz="4" w:space="0" w:color="000000"/>
              <w:bottom w:val="nil"/>
              <w:right w:val="nil"/>
            </w:tcBorders>
            <w:shd w:val="clear" w:color="auto" w:fill="auto"/>
            <w:hideMark/>
          </w:tcPr>
          <w:p w14:paraId="508209BD" w14:textId="77777777" w:rsidR="00A527A7" w:rsidRPr="00A527A7" w:rsidRDefault="00A527A7" w:rsidP="00A527A7">
            <w:pPr>
              <w:spacing w:after="0" w:line="240" w:lineRule="auto"/>
              <w:rPr>
                <w:rFonts w:ascii="SansSerif" w:eastAsia="Times New Roman" w:hAnsi="SansSerif" w:cs="Arial"/>
                <w:color w:val="000000"/>
                <w:sz w:val="24"/>
                <w:szCs w:val="24"/>
              </w:rPr>
            </w:pPr>
            <w:r w:rsidRPr="00A527A7">
              <w:rPr>
                <w:rFonts w:ascii="SansSerif" w:eastAsia="Times New Roman" w:hAnsi="SansSerif" w:cs="Arial"/>
                <w:color w:val="000000"/>
                <w:sz w:val="24"/>
                <w:szCs w:val="24"/>
              </w:rPr>
              <w:t> </w:t>
            </w:r>
          </w:p>
        </w:tc>
        <w:tc>
          <w:tcPr>
            <w:tcW w:w="269" w:type="dxa"/>
            <w:tcBorders>
              <w:top w:val="nil"/>
              <w:left w:val="nil"/>
              <w:bottom w:val="nil"/>
              <w:right w:val="nil"/>
            </w:tcBorders>
            <w:shd w:val="clear" w:color="auto" w:fill="auto"/>
            <w:hideMark/>
          </w:tcPr>
          <w:p w14:paraId="27BC813C" w14:textId="77777777" w:rsidR="00A527A7" w:rsidRPr="00A527A7" w:rsidRDefault="00A527A7" w:rsidP="00A527A7">
            <w:pPr>
              <w:spacing w:after="0" w:line="240" w:lineRule="auto"/>
              <w:rPr>
                <w:rFonts w:ascii="SansSerif" w:eastAsia="Times New Roman" w:hAnsi="SansSerif" w:cs="Arial"/>
                <w:color w:val="000000"/>
                <w:sz w:val="24"/>
                <w:szCs w:val="24"/>
              </w:rPr>
            </w:pPr>
          </w:p>
        </w:tc>
        <w:tc>
          <w:tcPr>
            <w:tcW w:w="269" w:type="dxa"/>
            <w:tcBorders>
              <w:top w:val="nil"/>
              <w:left w:val="nil"/>
              <w:bottom w:val="nil"/>
              <w:right w:val="nil"/>
            </w:tcBorders>
            <w:shd w:val="clear" w:color="auto" w:fill="auto"/>
            <w:hideMark/>
          </w:tcPr>
          <w:p w14:paraId="05B6B204" w14:textId="77777777" w:rsidR="00A527A7" w:rsidRPr="00A527A7" w:rsidRDefault="00A527A7" w:rsidP="00A527A7">
            <w:pPr>
              <w:spacing w:after="0" w:line="240" w:lineRule="auto"/>
              <w:rPr>
                <w:rFonts w:ascii="Times New Roman" w:eastAsia="Times New Roman" w:hAnsi="Times New Roman" w:cs="Times New Roman"/>
                <w:sz w:val="20"/>
                <w:szCs w:val="20"/>
              </w:rPr>
            </w:pPr>
          </w:p>
        </w:tc>
        <w:tc>
          <w:tcPr>
            <w:tcW w:w="9336" w:type="dxa"/>
            <w:gridSpan w:val="15"/>
            <w:tcBorders>
              <w:top w:val="nil"/>
              <w:left w:val="nil"/>
              <w:bottom w:val="nil"/>
              <w:right w:val="single" w:sz="4" w:space="0" w:color="000000"/>
            </w:tcBorders>
            <w:shd w:val="clear" w:color="auto" w:fill="auto"/>
            <w:vAlign w:val="bottom"/>
            <w:hideMark/>
          </w:tcPr>
          <w:p w14:paraId="4CD8076A" w14:textId="77777777" w:rsidR="00A527A7" w:rsidRPr="00A527A7" w:rsidRDefault="00A527A7" w:rsidP="00A527A7">
            <w:pPr>
              <w:spacing w:after="0" w:line="240" w:lineRule="auto"/>
              <w:rPr>
                <w:rFonts w:ascii="SansSerif" w:eastAsia="Times New Roman" w:hAnsi="SansSerif" w:cs="Arial"/>
                <w:b/>
                <w:bCs/>
                <w:color w:val="000000"/>
                <w:sz w:val="24"/>
                <w:szCs w:val="24"/>
              </w:rPr>
            </w:pPr>
            <w:r w:rsidRPr="00A527A7">
              <w:rPr>
                <w:rFonts w:ascii="SansSerif" w:eastAsia="Times New Roman" w:hAnsi="SansSerif" w:cs="Arial"/>
                <w:b/>
                <w:bCs/>
                <w:color w:val="000000"/>
                <w:sz w:val="24"/>
                <w:szCs w:val="24"/>
              </w:rPr>
              <w:t xml:space="preserve">INCO 1048 Course #1 - Demonstrate the ability to find, evaluate and use appropriate information sources to answer an information need. </w:t>
            </w:r>
          </w:p>
        </w:tc>
      </w:tr>
      <w:tr w:rsidR="00A527A7" w:rsidRPr="00A527A7" w14:paraId="426385EC" w14:textId="77777777" w:rsidTr="008349C2">
        <w:trPr>
          <w:trHeight w:val="757"/>
        </w:trPr>
        <w:tc>
          <w:tcPr>
            <w:tcW w:w="269" w:type="dxa"/>
            <w:tcBorders>
              <w:top w:val="nil"/>
              <w:left w:val="single" w:sz="4" w:space="0" w:color="000000"/>
              <w:bottom w:val="nil"/>
              <w:right w:val="nil"/>
            </w:tcBorders>
            <w:shd w:val="clear" w:color="auto" w:fill="auto"/>
            <w:hideMark/>
          </w:tcPr>
          <w:p w14:paraId="42C823B0" w14:textId="77777777" w:rsidR="00A527A7" w:rsidRPr="00A527A7" w:rsidRDefault="00A527A7" w:rsidP="00A527A7">
            <w:pPr>
              <w:spacing w:after="0" w:line="240" w:lineRule="auto"/>
              <w:rPr>
                <w:rFonts w:ascii="SansSerif" w:eastAsia="Times New Roman" w:hAnsi="SansSerif" w:cs="Arial"/>
                <w:color w:val="000000"/>
                <w:sz w:val="24"/>
                <w:szCs w:val="24"/>
              </w:rPr>
            </w:pPr>
            <w:r w:rsidRPr="00A527A7">
              <w:rPr>
                <w:rFonts w:ascii="SansSerif" w:eastAsia="Times New Roman" w:hAnsi="SansSerif" w:cs="Arial"/>
                <w:color w:val="000000"/>
                <w:sz w:val="24"/>
                <w:szCs w:val="24"/>
              </w:rPr>
              <w:t> </w:t>
            </w:r>
          </w:p>
        </w:tc>
        <w:tc>
          <w:tcPr>
            <w:tcW w:w="269" w:type="dxa"/>
            <w:tcBorders>
              <w:top w:val="nil"/>
              <w:left w:val="nil"/>
              <w:bottom w:val="nil"/>
              <w:right w:val="nil"/>
            </w:tcBorders>
            <w:shd w:val="clear" w:color="auto" w:fill="auto"/>
            <w:hideMark/>
          </w:tcPr>
          <w:p w14:paraId="130DEADC" w14:textId="77777777" w:rsidR="00A527A7" w:rsidRPr="00A527A7" w:rsidRDefault="00A527A7" w:rsidP="00A527A7">
            <w:pPr>
              <w:spacing w:after="0" w:line="240" w:lineRule="auto"/>
              <w:rPr>
                <w:rFonts w:ascii="SansSerif" w:eastAsia="Times New Roman" w:hAnsi="SansSerif" w:cs="Arial"/>
                <w:color w:val="000000"/>
                <w:sz w:val="24"/>
                <w:szCs w:val="24"/>
              </w:rPr>
            </w:pPr>
          </w:p>
        </w:tc>
        <w:tc>
          <w:tcPr>
            <w:tcW w:w="269" w:type="dxa"/>
            <w:tcBorders>
              <w:top w:val="nil"/>
              <w:left w:val="nil"/>
              <w:bottom w:val="nil"/>
              <w:right w:val="nil"/>
            </w:tcBorders>
            <w:shd w:val="clear" w:color="auto" w:fill="auto"/>
            <w:hideMark/>
          </w:tcPr>
          <w:p w14:paraId="17F7BE2F" w14:textId="77777777" w:rsidR="00A527A7" w:rsidRPr="00A527A7" w:rsidRDefault="00A527A7" w:rsidP="00A527A7">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hideMark/>
          </w:tcPr>
          <w:p w14:paraId="1647D6C3" w14:textId="77777777" w:rsidR="00A527A7" w:rsidRPr="00A527A7" w:rsidRDefault="00A527A7" w:rsidP="00A527A7">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hideMark/>
          </w:tcPr>
          <w:p w14:paraId="5D06A778" w14:textId="77777777" w:rsidR="00A527A7" w:rsidRPr="00A527A7" w:rsidRDefault="00A527A7" w:rsidP="00A527A7">
            <w:pPr>
              <w:spacing w:after="0" w:line="240" w:lineRule="auto"/>
              <w:rPr>
                <w:rFonts w:ascii="Times New Roman" w:eastAsia="Times New Roman" w:hAnsi="Times New Roman" w:cs="Times New Roman"/>
                <w:sz w:val="20"/>
                <w:szCs w:val="20"/>
              </w:rPr>
            </w:pPr>
          </w:p>
        </w:tc>
        <w:tc>
          <w:tcPr>
            <w:tcW w:w="888" w:type="dxa"/>
            <w:tcBorders>
              <w:top w:val="nil"/>
              <w:left w:val="nil"/>
              <w:bottom w:val="nil"/>
              <w:right w:val="nil"/>
            </w:tcBorders>
            <w:shd w:val="clear" w:color="auto" w:fill="auto"/>
            <w:hideMark/>
          </w:tcPr>
          <w:p w14:paraId="63537C03" w14:textId="77777777" w:rsidR="00A527A7" w:rsidRPr="00A527A7" w:rsidRDefault="00A527A7" w:rsidP="00A527A7">
            <w:pPr>
              <w:spacing w:after="0" w:line="240" w:lineRule="auto"/>
              <w:rPr>
                <w:rFonts w:ascii="Times New Roman" w:eastAsia="Times New Roman" w:hAnsi="Times New Roman" w:cs="Times New Roman"/>
                <w:sz w:val="20"/>
                <w:szCs w:val="20"/>
              </w:rPr>
            </w:pPr>
          </w:p>
        </w:tc>
        <w:tc>
          <w:tcPr>
            <w:tcW w:w="1493" w:type="dxa"/>
            <w:gridSpan w:val="2"/>
            <w:tcBorders>
              <w:top w:val="single" w:sz="4" w:space="0" w:color="000000"/>
              <w:left w:val="single" w:sz="4" w:space="0" w:color="000000"/>
              <w:bottom w:val="single" w:sz="4" w:space="0" w:color="000000"/>
              <w:right w:val="single" w:sz="4" w:space="0" w:color="000000"/>
            </w:tcBorders>
            <w:shd w:val="clear" w:color="000000" w:fill="CCCCFF"/>
            <w:vAlign w:val="center"/>
            <w:hideMark/>
          </w:tcPr>
          <w:p w14:paraId="14C95BA1" w14:textId="77777777" w:rsidR="00A527A7" w:rsidRPr="00A527A7" w:rsidRDefault="00A527A7" w:rsidP="00A527A7">
            <w:pPr>
              <w:spacing w:after="0" w:line="240" w:lineRule="auto"/>
              <w:jc w:val="center"/>
              <w:rPr>
                <w:rFonts w:ascii="SansSerif" w:eastAsia="Times New Roman" w:hAnsi="SansSerif" w:cs="Arial"/>
                <w:color w:val="000000"/>
                <w:sz w:val="24"/>
                <w:szCs w:val="24"/>
              </w:rPr>
            </w:pPr>
            <w:r w:rsidRPr="00A527A7">
              <w:rPr>
                <w:rFonts w:ascii="SansSerif" w:eastAsia="Times New Roman" w:hAnsi="SansSerif" w:cs="Arial"/>
                <w:color w:val="000000"/>
                <w:sz w:val="24"/>
                <w:szCs w:val="24"/>
              </w:rPr>
              <w:t>Mastery</w:t>
            </w:r>
          </w:p>
        </w:tc>
        <w:tc>
          <w:tcPr>
            <w:tcW w:w="1360" w:type="dxa"/>
            <w:gridSpan w:val="2"/>
            <w:tcBorders>
              <w:top w:val="single" w:sz="4" w:space="0" w:color="000000"/>
              <w:left w:val="nil"/>
              <w:bottom w:val="single" w:sz="4" w:space="0" w:color="000000"/>
              <w:right w:val="single" w:sz="4" w:space="0" w:color="000000"/>
            </w:tcBorders>
            <w:shd w:val="clear" w:color="000000" w:fill="CCCCFF"/>
            <w:vAlign w:val="center"/>
            <w:hideMark/>
          </w:tcPr>
          <w:p w14:paraId="0BCCEF7B" w14:textId="77777777" w:rsidR="00A527A7" w:rsidRPr="00A527A7" w:rsidRDefault="00A527A7" w:rsidP="00A527A7">
            <w:pPr>
              <w:spacing w:after="0" w:line="240" w:lineRule="auto"/>
              <w:jc w:val="center"/>
              <w:rPr>
                <w:rFonts w:ascii="SansSerif" w:eastAsia="Times New Roman" w:hAnsi="SansSerif" w:cs="Arial"/>
                <w:color w:val="000000"/>
                <w:sz w:val="24"/>
                <w:szCs w:val="24"/>
              </w:rPr>
            </w:pPr>
            <w:r w:rsidRPr="00A527A7">
              <w:rPr>
                <w:rFonts w:ascii="SansSerif" w:eastAsia="Times New Roman" w:hAnsi="SansSerif" w:cs="Arial"/>
                <w:color w:val="000000"/>
                <w:sz w:val="24"/>
                <w:szCs w:val="24"/>
              </w:rPr>
              <w:t>N/A</w:t>
            </w:r>
          </w:p>
        </w:tc>
        <w:tc>
          <w:tcPr>
            <w:tcW w:w="1517" w:type="dxa"/>
            <w:gridSpan w:val="2"/>
            <w:tcBorders>
              <w:top w:val="single" w:sz="4" w:space="0" w:color="000000"/>
              <w:left w:val="nil"/>
              <w:bottom w:val="single" w:sz="4" w:space="0" w:color="000000"/>
              <w:right w:val="single" w:sz="4" w:space="0" w:color="000000"/>
            </w:tcBorders>
            <w:shd w:val="clear" w:color="000000" w:fill="CCCCFF"/>
            <w:vAlign w:val="center"/>
            <w:hideMark/>
          </w:tcPr>
          <w:p w14:paraId="500BF9CE" w14:textId="77777777" w:rsidR="00A527A7" w:rsidRPr="00A527A7" w:rsidRDefault="00A527A7" w:rsidP="00A527A7">
            <w:pPr>
              <w:spacing w:after="0" w:line="240" w:lineRule="auto"/>
              <w:jc w:val="center"/>
              <w:rPr>
                <w:rFonts w:ascii="SansSerif" w:eastAsia="Times New Roman" w:hAnsi="SansSerif" w:cs="Arial"/>
                <w:color w:val="000000"/>
                <w:sz w:val="24"/>
                <w:szCs w:val="24"/>
              </w:rPr>
            </w:pPr>
            <w:r w:rsidRPr="00A527A7">
              <w:rPr>
                <w:rFonts w:ascii="SansSerif" w:eastAsia="Times New Roman" w:hAnsi="SansSerif" w:cs="Arial"/>
                <w:color w:val="000000"/>
                <w:sz w:val="24"/>
                <w:szCs w:val="24"/>
              </w:rPr>
              <w:t>Meets expectations</w:t>
            </w:r>
          </w:p>
        </w:tc>
        <w:tc>
          <w:tcPr>
            <w:tcW w:w="1517" w:type="dxa"/>
            <w:gridSpan w:val="2"/>
            <w:tcBorders>
              <w:top w:val="single" w:sz="4" w:space="0" w:color="000000"/>
              <w:left w:val="nil"/>
              <w:bottom w:val="single" w:sz="4" w:space="0" w:color="000000"/>
              <w:right w:val="single" w:sz="4" w:space="0" w:color="000000"/>
            </w:tcBorders>
            <w:shd w:val="clear" w:color="000000" w:fill="CCCCFF"/>
            <w:vAlign w:val="center"/>
            <w:hideMark/>
          </w:tcPr>
          <w:p w14:paraId="767B2F8C" w14:textId="77777777" w:rsidR="00A527A7" w:rsidRPr="00A527A7" w:rsidRDefault="00A527A7" w:rsidP="00A527A7">
            <w:pPr>
              <w:spacing w:after="0" w:line="240" w:lineRule="auto"/>
              <w:jc w:val="center"/>
              <w:rPr>
                <w:rFonts w:ascii="SansSerif" w:eastAsia="Times New Roman" w:hAnsi="SansSerif" w:cs="Arial"/>
                <w:color w:val="000000"/>
                <w:sz w:val="24"/>
                <w:szCs w:val="24"/>
              </w:rPr>
            </w:pPr>
            <w:r w:rsidRPr="00A527A7">
              <w:rPr>
                <w:rFonts w:ascii="SansSerif" w:eastAsia="Times New Roman" w:hAnsi="SansSerif" w:cs="Arial"/>
                <w:color w:val="000000"/>
                <w:sz w:val="24"/>
                <w:szCs w:val="24"/>
              </w:rPr>
              <w:t>Does not meet expectations</w:t>
            </w:r>
          </w:p>
        </w:tc>
        <w:tc>
          <w:tcPr>
            <w:tcW w:w="1626" w:type="dxa"/>
            <w:gridSpan w:val="2"/>
            <w:tcBorders>
              <w:top w:val="single" w:sz="4" w:space="0" w:color="000000"/>
              <w:left w:val="nil"/>
              <w:bottom w:val="single" w:sz="4" w:space="0" w:color="000000"/>
              <w:right w:val="single" w:sz="4" w:space="0" w:color="000000"/>
            </w:tcBorders>
            <w:shd w:val="clear" w:color="000000" w:fill="CCCCFF"/>
            <w:vAlign w:val="center"/>
            <w:hideMark/>
          </w:tcPr>
          <w:p w14:paraId="6EDBF449" w14:textId="77777777" w:rsidR="00A527A7" w:rsidRPr="00A527A7" w:rsidRDefault="00A527A7" w:rsidP="00A527A7">
            <w:pPr>
              <w:spacing w:after="0" w:line="240" w:lineRule="auto"/>
              <w:jc w:val="center"/>
              <w:rPr>
                <w:rFonts w:ascii="SansSerif" w:eastAsia="Times New Roman" w:hAnsi="SansSerif" w:cs="Arial"/>
                <w:color w:val="000000"/>
                <w:sz w:val="24"/>
                <w:szCs w:val="24"/>
              </w:rPr>
            </w:pPr>
            <w:r w:rsidRPr="00A527A7">
              <w:rPr>
                <w:rFonts w:ascii="SansSerif" w:eastAsia="Times New Roman" w:hAnsi="SansSerif" w:cs="Arial"/>
                <w:color w:val="000000"/>
                <w:sz w:val="24"/>
                <w:szCs w:val="24"/>
              </w:rPr>
              <w:t>Total</w:t>
            </w:r>
          </w:p>
        </w:tc>
        <w:tc>
          <w:tcPr>
            <w:tcW w:w="222" w:type="dxa"/>
            <w:tcBorders>
              <w:top w:val="nil"/>
              <w:left w:val="nil"/>
              <w:bottom w:val="nil"/>
              <w:right w:val="nil"/>
            </w:tcBorders>
            <w:shd w:val="clear" w:color="auto" w:fill="auto"/>
            <w:hideMark/>
          </w:tcPr>
          <w:p w14:paraId="07377A0D" w14:textId="77777777" w:rsidR="00A527A7" w:rsidRPr="00A527A7" w:rsidRDefault="00A527A7" w:rsidP="00A527A7">
            <w:pPr>
              <w:spacing w:after="0" w:line="240" w:lineRule="auto"/>
              <w:jc w:val="center"/>
              <w:rPr>
                <w:rFonts w:ascii="SansSerif" w:eastAsia="Times New Roman" w:hAnsi="SansSerif" w:cs="Arial"/>
                <w:color w:val="000000"/>
                <w:sz w:val="24"/>
                <w:szCs w:val="24"/>
              </w:rPr>
            </w:pPr>
          </w:p>
        </w:tc>
        <w:tc>
          <w:tcPr>
            <w:tcW w:w="269" w:type="dxa"/>
            <w:tcBorders>
              <w:top w:val="nil"/>
              <w:left w:val="nil"/>
              <w:bottom w:val="nil"/>
              <w:right w:val="single" w:sz="4" w:space="0" w:color="000000"/>
            </w:tcBorders>
            <w:shd w:val="clear" w:color="auto" w:fill="auto"/>
            <w:hideMark/>
          </w:tcPr>
          <w:p w14:paraId="7651FCFE" w14:textId="77777777" w:rsidR="00A527A7" w:rsidRPr="00A527A7" w:rsidRDefault="00A527A7" w:rsidP="00A527A7">
            <w:pPr>
              <w:spacing w:after="0" w:line="240" w:lineRule="auto"/>
              <w:rPr>
                <w:rFonts w:ascii="SansSerif" w:eastAsia="Times New Roman" w:hAnsi="SansSerif" w:cs="Arial"/>
                <w:color w:val="000000"/>
                <w:sz w:val="24"/>
                <w:szCs w:val="24"/>
              </w:rPr>
            </w:pPr>
            <w:r w:rsidRPr="00A527A7">
              <w:rPr>
                <w:rFonts w:ascii="SansSerif" w:eastAsia="Times New Roman" w:hAnsi="SansSerif" w:cs="Arial"/>
                <w:color w:val="000000"/>
                <w:sz w:val="24"/>
                <w:szCs w:val="24"/>
              </w:rPr>
              <w:t> </w:t>
            </w:r>
          </w:p>
        </w:tc>
      </w:tr>
      <w:tr w:rsidR="00A527A7" w:rsidRPr="00A527A7" w14:paraId="6FF0A620" w14:textId="77777777" w:rsidTr="008349C2">
        <w:trPr>
          <w:trHeight w:val="251"/>
        </w:trPr>
        <w:tc>
          <w:tcPr>
            <w:tcW w:w="269" w:type="dxa"/>
            <w:tcBorders>
              <w:top w:val="nil"/>
              <w:left w:val="single" w:sz="4" w:space="0" w:color="000000"/>
              <w:bottom w:val="nil"/>
              <w:right w:val="nil"/>
            </w:tcBorders>
            <w:shd w:val="clear" w:color="auto" w:fill="auto"/>
            <w:hideMark/>
          </w:tcPr>
          <w:p w14:paraId="7F158D11" w14:textId="77777777" w:rsidR="00A527A7" w:rsidRPr="00A527A7" w:rsidRDefault="00A527A7" w:rsidP="00A527A7">
            <w:pPr>
              <w:spacing w:after="0" w:line="240" w:lineRule="auto"/>
              <w:rPr>
                <w:rFonts w:ascii="SansSerif" w:eastAsia="Times New Roman" w:hAnsi="SansSerif" w:cs="Arial"/>
                <w:color w:val="000000"/>
                <w:sz w:val="24"/>
                <w:szCs w:val="24"/>
              </w:rPr>
            </w:pPr>
            <w:r w:rsidRPr="00A527A7">
              <w:rPr>
                <w:rFonts w:ascii="SansSerif" w:eastAsia="Times New Roman" w:hAnsi="SansSerif" w:cs="Arial"/>
                <w:color w:val="000000"/>
                <w:sz w:val="24"/>
                <w:szCs w:val="24"/>
              </w:rPr>
              <w:t> </w:t>
            </w:r>
          </w:p>
        </w:tc>
        <w:tc>
          <w:tcPr>
            <w:tcW w:w="269" w:type="dxa"/>
            <w:tcBorders>
              <w:top w:val="nil"/>
              <w:left w:val="nil"/>
              <w:bottom w:val="nil"/>
              <w:right w:val="nil"/>
            </w:tcBorders>
            <w:shd w:val="clear" w:color="auto" w:fill="auto"/>
            <w:hideMark/>
          </w:tcPr>
          <w:p w14:paraId="78D1B950" w14:textId="77777777" w:rsidR="00A527A7" w:rsidRPr="00A527A7" w:rsidRDefault="00A527A7" w:rsidP="00A527A7">
            <w:pPr>
              <w:spacing w:after="0" w:line="240" w:lineRule="auto"/>
              <w:rPr>
                <w:rFonts w:ascii="SansSerif" w:eastAsia="Times New Roman" w:hAnsi="SansSerif" w:cs="Arial"/>
                <w:color w:val="000000"/>
                <w:sz w:val="24"/>
                <w:szCs w:val="24"/>
              </w:rPr>
            </w:pPr>
          </w:p>
        </w:tc>
        <w:tc>
          <w:tcPr>
            <w:tcW w:w="269" w:type="dxa"/>
            <w:tcBorders>
              <w:top w:val="nil"/>
              <w:left w:val="nil"/>
              <w:bottom w:val="nil"/>
              <w:right w:val="nil"/>
            </w:tcBorders>
            <w:shd w:val="clear" w:color="auto" w:fill="auto"/>
            <w:hideMark/>
          </w:tcPr>
          <w:p w14:paraId="20BF20E2" w14:textId="77777777" w:rsidR="00A527A7" w:rsidRPr="00A527A7" w:rsidRDefault="00A527A7" w:rsidP="00A527A7">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hideMark/>
          </w:tcPr>
          <w:p w14:paraId="5F5D4A74" w14:textId="77777777" w:rsidR="00A527A7" w:rsidRPr="00A527A7" w:rsidRDefault="00A527A7" w:rsidP="00A527A7">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hideMark/>
          </w:tcPr>
          <w:p w14:paraId="18FE2181" w14:textId="77777777" w:rsidR="00A527A7" w:rsidRPr="00A527A7" w:rsidRDefault="00A527A7" w:rsidP="00A527A7">
            <w:pPr>
              <w:spacing w:after="0" w:line="240" w:lineRule="auto"/>
              <w:rPr>
                <w:rFonts w:ascii="Times New Roman" w:eastAsia="Times New Roman" w:hAnsi="Times New Roman" w:cs="Times New Roman"/>
                <w:sz w:val="20"/>
                <w:szCs w:val="20"/>
              </w:rPr>
            </w:pPr>
          </w:p>
        </w:tc>
        <w:tc>
          <w:tcPr>
            <w:tcW w:w="888" w:type="dxa"/>
            <w:tcBorders>
              <w:top w:val="nil"/>
              <w:left w:val="nil"/>
              <w:bottom w:val="nil"/>
              <w:right w:val="single" w:sz="4" w:space="0" w:color="000000"/>
            </w:tcBorders>
            <w:shd w:val="clear" w:color="000000" w:fill="FFFFFF"/>
            <w:vAlign w:val="center"/>
            <w:hideMark/>
          </w:tcPr>
          <w:p w14:paraId="685811C6" w14:textId="77777777" w:rsidR="00A527A7" w:rsidRPr="00A527A7" w:rsidRDefault="00A527A7" w:rsidP="00A527A7">
            <w:pPr>
              <w:spacing w:after="0" w:line="240" w:lineRule="auto"/>
              <w:jc w:val="right"/>
              <w:rPr>
                <w:rFonts w:ascii="SansSerif" w:eastAsia="Times New Roman" w:hAnsi="SansSerif" w:cs="Arial"/>
                <w:color w:val="000000"/>
                <w:sz w:val="24"/>
                <w:szCs w:val="24"/>
              </w:rPr>
            </w:pPr>
            <w:r w:rsidRPr="00A527A7">
              <w:rPr>
                <w:rFonts w:ascii="SansSerif" w:eastAsia="Times New Roman" w:hAnsi="SansSerif" w:cs="Arial"/>
                <w:color w:val="000000"/>
                <w:sz w:val="24"/>
                <w:szCs w:val="24"/>
              </w:rPr>
              <w:t>Spring 2022</w:t>
            </w:r>
          </w:p>
        </w:tc>
        <w:tc>
          <w:tcPr>
            <w:tcW w:w="482" w:type="dxa"/>
            <w:tcBorders>
              <w:top w:val="nil"/>
              <w:left w:val="nil"/>
              <w:bottom w:val="single" w:sz="4" w:space="0" w:color="000000"/>
              <w:right w:val="single" w:sz="4" w:space="0" w:color="000000"/>
            </w:tcBorders>
            <w:shd w:val="clear" w:color="000000" w:fill="FFFFFF"/>
            <w:vAlign w:val="center"/>
            <w:hideMark/>
          </w:tcPr>
          <w:p w14:paraId="15AED6D0" w14:textId="77777777" w:rsidR="00A527A7" w:rsidRPr="00A527A7" w:rsidRDefault="00A527A7" w:rsidP="00A527A7">
            <w:pPr>
              <w:spacing w:after="0" w:line="240" w:lineRule="auto"/>
              <w:jc w:val="center"/>
              <w:rPr>
                <w:rFonts w:ascii="SansSerif" w:eastAsia="Times New Roman" w:hAnsi="SansSerif" w:cs="Arial"/>
                <w:color w:val="000000"/>
                <w:sz w:val="24"/>
                <w:szCs w:val="24"/>
              </w:rPr>
            </w:pPr>
            <w:r w:rsidRPr="00A527A7">
              <w:rPr>
                <w:rFonts w:ascii="SansSerif" w:eastAsia="Times New Roman" w:hAnsi="SansSerif" w:cs="Arial"/>
                <w:color w:val="000000"/>
                <w:sz w:val="24"/>
                <w:szCs w:val="24"/>
              </w:rPr>
              <w:t>9</w:t>
            </w:r>
          </w:p>
        </w:tc>
        <w:tc>
          <w:tcPr>
            <w:tcW w:w="1011" w:type="dxa"/>
            <w:tcBorders>
              <w:top w:val="nil"/>
              <w:left w:val="nil"/>
              <w:bottom w:val="single" w:sz="4" w:space="0" w:color="000000"/>
              <w:right w:val="single" w:sz="4" w:space="0" w:color="000000"/>
            </w:tcBorders>
            <w:shd w:val="clear" w:color="000000" w:fill="FFFFFF"/>
            <w:vAlign w:val="center"/>
            <w:hideMark/>
          </w:tcPr>
          <w:p w14:paraId="6F73A308" w14:textId="77777777" w:rsidR="00A527A7" w:rsidRPr="00A527A7" w:rsidRDefault="00A527A7" w:rsidP="00A527A7">
            <w:pPr>
              <w:spacing w:after="0" w:line="240" w:lineRule="auto"/>
              <w:jc w:val="center"/>
              <w:rPr>
                <w:rFonts w:ascii="SansSerif" w:eastAsia="Times New Roman" w:hAnsi="SansSerif" w:cs="Arial"/>
                <w:color w:val="000000"/>
                <w:sz w:val="24"/>
                <w:szCs w:val="24"/>
              </w:rPr>
            </w:pPr>
            <w:r w:rsidRPr="00A527A7">
              <w:rPr>
                <w:rFonts w:ascii="SansSerif" w:eastAsia="Times New Roman" w:hAnsi="SansSerif" w:cs="Arial"/>
                <w:color w:val="000000"/>
                <w:sz w:val="24"/>
                <w:szCs w:val="24"/>
              </w:rPr>
              <w:t>37.50%</w:t>
            </w:r>
          </w:p>
        </w:tc>
        <w:tc>
          <w:tcPr>
            <w:tcW w:w="349" w:type="dxa"/>
            <w:tcBorders>
              <w:top w:val="single" w:sz="4" w:space="0" w:color="000000"/>
              <w:left w:val="nil"/>
              <w:bottom w:val="single" w:sz="4" w:space="0" w:color="000000"/>
              <w:right w:val="single" w:sz="4" w:space="0" w:color="000000"/>
            </w:tcBorders>
            <w:shd w:val="clear" w:color="000000" w:fill="FFFFFF"/>
            <w:vAlign w:val="center"/>
            <w:hideMark/>
          </w:tcPr>
          <w:p w14:paraId="42424FF5" w14:textId="77777777" w:rsidR="00A527A7" w:rsidRPr="00A527A7" w:rsidRDefault="00A527A7" w:rsidP="00A527A7">
            <w:pPr>
              <w:spacing w:after="0" w:line="240" w:lineRule="auto"/>
              <w:jc w:val="center"/>
              <w:rPr>
                <w:rFonts w:ascii="SansSerif" w:eastAsia="Times New Roman" w:hAnsi="SansSerif" w:cs="Arial"/>
                <w:color w:val="000000"/>
                <w:sz w:val="24"/>
                <w:szCs w:val="24"/>
              </w:rPr>
            </w:pPr>
            <w:r w:rsidRPr="00A527A7">
              <w:rPr>
                <w:rFonts w:ascii="SansSerif" w:eastAsia="Times New Roman" w:hAnsi="SansSerif" w:cs="Arial"/>
                <w:color w:val="000000"/>
                <w:sz w:val="24"/>
                <w:szCs w:val="24"/>
              </w:rPr>
              <w:t>7</w:t>
            </w:r>
          </w:p>
        </w:tc>
        <w:tc>
          <w:tcPr>
            <w:tcW w:w="1011" w:type="dxa"/>
            <w:tcBorders>
              <w:top w:val="single" w:sz="4" w:space="0" w:color="000000"/>
              <w:left w:val="nil"/>
              <w:bottom w:val="single" w:sz="4" w:space="0" w:color="000000"/>
              <w:right w:val="single" w:sz="4" w:space="0" w:color="000000"/>
            </w:tcBorders>
            <w:shd w:val="clear" w:color="000000" w:fill="FFFFFF"/>
            <w:vAlign w:val="center"/>
            <w:hideMark/>
          </w:tcPr>
          <w:p w14:paraId="05025322" w14:textId="77777777" w:rsidR="00A527A7" w:rsidRPr="00A527A7" w:rsidRDefault="00A527A7" w:rsidP="00A527A7">
            <w:pPr>
              <w:spacing w:after="0" w:line="240" w:lineRule="auto"/>
              <w:jc w:val="center"/>
              <w:rPr>
                <w:rFonts w:ascii="SansSerif" w:eastAsia="Times New Roman" w:hAnsi="SansSerif" w:cs="Arial"/>
                <w:color w:val="000000"/>
                <w:sz w:val="24"/>
                <w:szCs w:val="24"/>
              </w:rPr>
            </w:pPr>
            <w:r w:rsidRPr="00A527A7">
              <w:rPr>
                <w:rFonts w:ascii="SansSerif" w:eastAsia="Times New Roman" w:hAnsi="SansSerif" w:cs="Arial"/>
                <w:color w:val="000000"/>
                <w:sz w:val="24"/>
                <w:szCs w:val="24"/>
              </w:rPr>
              <w:t>29.17%</w:t>
            </w:r>
          </w:p>
        </w:tc>
        <w:tc>
          <w:tcPr>
            <w:tcW w:w="490" w:type="dxa"/>
            <w:tcBorders>
              <w:top w:val="nil"/>
              <w:left w:val="nil"/>
              <w:bottom w:val="single" w:sz="4" w:space="0" w:color="000000"/>
              <w:right w:val="single" w:sz="4" w:space="0" w:color="000000"/>
            </w:tcBorders>
            <w:shd w:val="clear" w:color="000000" w:fill="FFFFFF"/>
            <w:vAlign w:val="center"/>
            <w:hideMark/>
          </w:tcPr>
          <w:p w14:paraId="453BECC2" w14:textId="77777777" w:rsidR="00A527A7" w:rsidRPr="00A527A7" w:rsidRDefault="00A527A7" w:rsidP="00A527A7">
            <w:pPr>
              <w:spacing w:after="0" w:line="240" w:lineRule="auto"/>
              <w:jc w:val="center"/>
              <w:rPr>
                <w:rFonts w:ascii="SansSerif" w:eastAsia="Times New Roman" w:hAnsi="SansSerif" w:cs="Arial"/>
                <w:color w:val="000000"/>
                <w:sz w:val="24"/>
                <w:szCs w:val="24"/>
              </w:rPr>
            </w:pPr>
            <w:r w:rsidRPr="00A527A7">
              <w:rPr>
                <w:rFonts w:ascii="SansSerif" w:eastAsia="Times New Roman" w:hAnsi="SansSerif" w:cs="Arial"/>
                <w:color w:val="000000"/>
                <w:sz w:val="24"/>
                <w:szCs w:val="24"/>
              </w:rPr>
              <w:t>7</w:t>
            </w:r>
          </w:p>
        </w:tc>
        <w:tc>
          <w:tcPr>
            <w:tcW w:w="1027" w:type="dxa"/>
            <w:tcBorders>
              <w:top w:val="nil"/>
              <w:left w:val="nil"/>
              <w:bottom w:val="single" w:sz="4" w:space="0" w:color="000000"/>
              <w:right w:val="single" w:sz="4" w:space="0" w:color="000000"/>
            </w:tcBorders>
            <w:shd w:val="clear" w:color="000000" w:fill="FFFFFF"/>
            <w:vAlign w:val="center"/>
            <w:hideMark/>
          </w:tcPr>
          <w:p w14:paraId="26F6AB2A" w14:textId="77777777" w:rsidR="00A527A7" w:rsidRPr="00A527A7" w:rsidRDefault="00A527A7" w:rsidP="00A527A7">
            <w:pPr>
              <w:spacing w:after="0" w:line="240" w:lineRule="auto"/>
              <w:jc w:val="center"/>
              <w:rPr>
                <w:rFonts w:ascii="SansSerif" w:eastAsia="Times New Roman" w:hAnsi="SansSerif" w:cs="Arial"/>
                <w:color w:val="000000"/>
                <w:sz w:val="24"/>
                <w:szCs w:val="24"/>
              </w:rPr>
            </w:pPr>
            <w:r w:rsidRPr="00A527A7">
              <w:rPr>
                <w:rFonts w:ascii="SansSerif" w:eastAsia="Times New Roman" w:hAnsi="SansSerif" w:cs="Arial"/>
                <w:color w:val="000000"/>
                <w:sz w:val="24"/>
                <w:szCs w:val="24"/>
              </w:rPr>
              <w:t>29.17%</w:t>
            </w:r>
          </w:p>
        </w:tc>
        <w:tc>
          <w:tcPr>
            <w:tcW w:w="490" w:type="dxa"/>
            <w:tcBorders>
              <w:top w:val="nil"/>
              <w:left w:val="nil"/>
              <w:bottom w:val="single" w:sz="4" w:space="0" w:color="000000"/>
              <w:right w:val="single" w:sz="4" w:space="0" w:color="000000"/>
            </w:tcBorders>
            <w:shd w:val="clear" w:color="000000" w:fill="FFFFFF"/>
            <w:vAlign w:val="center"/>
            <w:hideMark/>
          </w:tcPr>
          <w:p w14:paraId="6011382E" w14:textId="77777777" w:rsidR="00A527A7" w:rsidRPr="00A527A7" w:rsidRDefault="00A527A7" w:rsidP="00A527A7">
            <w:pPr>
              <w:spacing w:after="0" w:line="240" w:lineRule="auto"/>
              <w:jc w:val="center"/>
              <w:rPr>
                <w:rFonts w:ascii="SansSerif" w:eastAsia="Times New Roman" w:hAnsi="SansSerif" w:cs="Arial"/>
                <w:color w:val="000000"/>
                <w:sz w:val="24"/>
                <w:szCs w:val="24"/>
              </w:rPr>
            </w:pPr>
            <w:r w:rsidRPr="00A527A7">
              <w:rPr>
                <w:rFonts w:ascii="SansSerif" w:eastAsia="Times New Roman" w:hAnsi="SansSerif" w:cs="Arial"/>
                <w:color w:val="000000"/>
                <w:sz w:val="24"/>
                <w:szCs w:val="24"/>
              </w:rPr>
              <w:t>1</w:t>
            </w:r>
          </w:p>
        </w:tc>
        <w:tc>
          <w:tcPr>
            <w:tcW w:w="1027" w:type="dxa"/>
            <w:tcBorders>
              <w:top w:val="nil"/>
              <w:left w:val="nil"/>
              <w:bottom w:val="single" w:sz="4" w:space="0" w:color="000000"/>
              <w:right w:val="single" w:sz="4" w:space="0" w:color="000000"/>
            </w:tcBorders>
            <w:shd w:val="clear" w:color="000000" w:fill="FFFFFF"/>
            <w:vAlign w:val="center"/>
            <w:hideMark/>
          </w:tcPr>
          <w:p w14:paraId="0FA53952" w14:textId="77777777" w:rsidR="00A527A7" w:rsidRPr="00A527A7" w:rsidRDefault="00A527A7" w:rsidP="00A527A7">
            <w:pPr>
              <w:spacing w:after="0" w:line="240" w:lineRule="auto"/>
              <w:jc w:val="center"/>
              <w:rPr>
                <w:rFonts w:ascii="SansSerif" w:eastAsia="Times New Roman" w:hAnsi="SansSerif" w:cs="Arial"/>
                <w:color w:val="000000"/>
                <w:sz w:val="24"/>
                <w:szCs w:val="24"/>
              </w:rPr>
            </w:pPr>
            <w:r w:rsidRPr="00A527A7">
              <w:rPr>
                <w:rFonts w:ascii="SansSerif" w:eastAsia="Times New Roman" w:hAnsi="SansSerif" w:cs="Arial"/>
                <w:color w:val="000000"/>
                <w:sz w:val="24"/>
                <w:szCs w:val="24"/>
              </w:rPr>
              <w:t>4.17%</w:t>
            </w:r>
          </w:p>
        </w:tc>
        <w:tc>
          <w:tcPr>
            <w:tcW w:w="482" w:type="dxa"/>
            <w:tcBorders>
              <w:top w:val="nil"/>
              <w:left w:val="nil"/>
              <w:bottom w:val="single" w:sz="4" w:space="0" w:color="000000"/>
              <w:right w:val="single" w:sz="4" w:space="0" w:color="000000"/>
            </w:tcBorders>
            <w:shd w:val="clear" w:color="000000" w:fill="FFFFFF"/>
            <w:vAlign w:val="center"/>
            <w:hideMark/>
          </w:tcPr>
          <w:p w14:paraId="5094B4E3" w14:textId="77777777" w:rsidR="00A527A7" w:rsidRPr="00A527A7" w:rsidRDefault="00A527A7" w:rsidP="00A527A7">
            <w:pPr>
              <w:spacing w:after="0" w:line="240" w:lineRule="auto"/>
              <w:jc w:val="center"/>
              <w:rPr>
                <w:rFonts w:ascii="SansSerif" w:eastAsia="Times New Roman" w:hAnsi="SansSerif" w:cs="Arial"/>
                <w:color w:val="000000"/>
                <w:sz w:val="24"/>
                <w:szCs w:val="24"/>
              </w:rPr>
            </w:pPr>
            <w:r w:rsidRPr="00A527A7">
              <w:rPr>
                <w:rFonts w:ascii="SansSerif" w:eastAsia="Times New Roman" w:hAnsi="SansSerif" w:cs="Arial"/>
                <w:color w:val="000000"/>
                <w:sz w:val="24"/>
                <w:szCs w:val="24"/>
              </w:rPr>
              <w:t>24</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14:paraId="73EC47D9" w14:textId="77777777" w:rsidR="00A527A7" w:rsidRPr="00A527A7" w:rsidRDefault="00A527A7" w:rsidP="00A527A7">
            <w:pPr>
              <w:spacing w:after="0" w:line="240" w:lineRule="auto"/>
              <w:jc w:val="center"/>
              <w:rPr>
                <w:rFonts w:ascii="SansSerif" w:eastAsia="Times New Roman" w:hAnsi="SansSerif" w:cs="Arial"/>
                <w:color w:val="000000"/>
                <w:sz w:val="24"/>
                <w:szCs w:val="24"/>
              </w:rPr>
            </w:pPr>
            <w:r w:rsidRPr="00A527A7">
              <w:rPr>
                <w:rFonts w:ascii="SansSerif" w:eastAsia="Times New Roman" w:hAnsi="SansSerif" w:cs="Arial"/>
                <w:color w:val="000000"/>
                <w:sz w:val="24"/>
                <w:szCs w:val="24"/>
              </w:rPr>
              <w:t>100.00%</w:t>
            </w:r>
          </w:p>
        </w:tc>
        <w:tc>
          <w:tcPr>
            <w:tcW w:w="222" w:type="dxa"/>
            <w:tcBorders>
              <w:top w:val="nil"/>
              <w:left w:val="nil"/>
              <w:bottom w:val="nil"/>
              <w:right w:val="nil"/>
            </w:tcBorders>
            <w:shd w:val="clear" w:color="auto" w:fill="auto"/>
            <w:hideMark/>
          </w:tcPr>
          <w:p w14:paraId="4A8D3270" w14:textId="77777777" w:rsidR="00A527A7" w:rsidRPr="00A527A7" w:rsidRDefault="00A527A7" w:rsidP="00A527A7">
            <w:pPr>
              <w:spacing w:after="0" w:line="240" w:lineRule="auto"/>
              <w:jc w:val="center"/>
              <w:rPr>
                <w:rFonts w:ascii="SansSerif" w:eastAsia="Times New Roman" w:hAnsi="SansSerif" w:cs="Arial"/>
                <w:color w:val="000000"/>
                <w:sz w:val="24"/>
                <w:szCs w:val="24"/>
              </w:rPr>
            </w:pPr>
          </w:p>
        </w:tc>
        <w:tc>
          <w:tcPr>
            <w:tcW w:w="269" w:type="dxa"/>
            <w:tcBorders>
              <w:top w:val="nil"/>
              <w:left w:val="nil"/>
              <w:bottom w:val="nil"/>
              <w:right w:val="single" w:sz="4" w:space="0" w:color="000000"/>
            </w:tcBorders>
            <w:shd w:val="clear" w:color="auto" w:fill="auto"/>
            <w:hideMark/>
          </w:tcPr>
          <w:p w14:paraId="25D4CE07" w14:textId="77777777" w:rsidR="00A527A7" w:rsidRPr="00A527A7" w:rsidRDefault="00A527A7" w:rsidP="00A527A7">
            <w:pPr>
              <w:spacing w:after="0" w:line="240" w:lineRule="auto"/>
              <w:rPr>
                <w:rFonts w:ascii="SansSerif" w:eastAsia="Times New Roman" w:hAnsi="SansSerif" w:cs="Arial"/>
                <w:color w:val="000000"/>
                <w:sz w:val="24"/>
                <w:szCs w:val="24"/>
              </w:rPr>
            </w:pPr>
            <w:r w:rsidRPr="00A527A7">
              <w:rPr>
                <w:rFonts w:ascii="SansSerif" w:eastAsia="Times New Roman" w:hAnsi="SansSerif" w:cs="Arial"/>
                <w:color w:val="000000"/>
                <w:sz w:val="24"/>
                <w:szCs w:val="24"/>
              </w:rPr>
              <w:t> </w:t>
            </w:r>
          </w:p>
        </w:tc>
      </w:tr>
      <w:tr w:rsidR="00A527A7" w:rsidRPr="00A527A7" w14:paraId="6DD340D4" w14:textId="77777777" w:rsidTr="008349C2">
        <w:trPr>
          <w:trHeight w:val="251"/>
        </w:trPr>
        <w:tc>
          <w:tcPr>
            <w:tcW w:w="269" w:type="dxa"/>
            <w:tcBorders>
              <w:top w:val="nil"/>
              <w:left w:val="single" w:sz="4" w:space="0" w:color="000000"/>
              <w:bottom w:val="nil"/>
              <w:right w:val="nil"/>
            </w:tcBorders>
            <w:shd w:val="clear" w:color="auto" w:fill="auto"/>
            <w:hideMark/>
          </w:tcPr>
          <w:p w14:paraId="7E2213AE" w14:textId="77777777" w:rsidR="00A527A7" w:rsidRPr="00A527A7" w:rsidRDefault="00A527A7" w:rsidP="00A527A7">
            <w:pPr>
              <w:spacing w:after="0" w:line="240" w:lineRule="auto"/>
              <w:rPr>
                <w:rFonts w:ascii="SansSerif" w:eastAsia="Times New Roman" w:hAnsi="SansSerif" w:cs="Arial"/>
                <w:color w:val="000000"/>
                <w:sz w:val="24"/>
                <w:szCs w:val="24"/>
              </w:rPr>
            </w:pPr>
            <w:r w:rsidRPr="00A527A7">
              <w:rPr>
                <w:rFonts w:ascii="SansSerif" w:eastAsia="Times New Roman" w:hAnsi="SansSerif" w:cs="Arial"/>
                <w:color w:val="000000"/>
                <w:sz w:val="24"/>
                <w:szCs w:val="24"/>
              </w:rPr>
              <w:t> </w:t>
            </w:r>
          </w:p>
        </w:tc>
        <w:tc>
          <w:tcPr>
            <w:tcW w:w="269" w:type="dxa"/>
            <w:tcBorders>
              <w:top w:val="nil"/>
              <w:left w:val="nil"/>
              <w:bottom w:val="nil"/>
              <w:right w:val="nil"/>
            </w:tcBorders>
            <w:shd w:val="clear" w:color="auto" w:fill="auto"/>
            <w:hideMark/>
          </w:tcPr>
          <w:p w14:paraId="7C59F65D" w14:textId="77777777" w:rsidR="00A527A7" w:rsidRPr="00A527A7" w:rsidRDefault="00A527A7" w:rsidP="00A527A7">
            <w:pPr>
              <w:spacing w:after="0" w:line="240" w:lineRule="auto"/>
              <w:rPr>
                <w:rFonts w:ascii="SansSerif" w:eastAsia="Times New Roman" w:hAnsi="SansSerif" w:cs="Arial"/>
                <w:color w:val="000000"/>
                <w:sz w:val="24"/>
                <w:szCs w:val="24"/>
              </w:rPr>
            </w:pPr>
          </w:p>
        </w:tc>
        <w:tc>
          <w:tcPr>
            <w:tcW w:w="269" w:type="dxa"/>
            <w:tcBorders>
              <w:top w:val="nil"/>
              <w:left w:val="nil"/>
              <w:bottom w:val="nil"/>
              <w:right w:val="nil"/>
            </w:tcBorders>
            <w:shd w:val="clear" w:color="auto" w:fill="auto"/>
            <w:hideMark/>
          </w:tcPr>
          <w:p w14:paraId="224D4D3E" w14:textId="77777777" w:rsidR="00A527A7" w:rsidRPr="00A527A7" w:rsidRDefault="00A527A7" w:rsidP="00A527A7">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hideMark/>
          </w:tcPr>
          <w:p w14:paraId="0A98F5F4" w14:textId="77777777" w:rsidR="00A527A7" w:rsidRPr="00A527A7" w:rsidRDefault="00A527A7" w:rsidP="00A527A7">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hideMark/>
          </w:tcPr>
          <w:p w14:paraId="29204E7C" w14:textId="77777777" w:rsidR="00A527A7" w:rsidRPr="00A527A7" w:rsidRDefault="00A527A7" w:rsidP="00A527A7">
            <w:pPr>
              <w:spacing w:after="0" w:line="240" w:lineRule="auto"/>
              <w:rPr>
                <w:rFonts w:ascii="Times New Roman" w:eastAsia="Times New Roman" w:hAnsi="Times New Roman" w:cs="Times New Roman"/>
                <w:sz w:val="20"/>
                <w:szCs w:val="20"/>
              </w:rPr>
            </w:pPr>
          </w:p>
        </w:tc>
        <w:tc>
          <w:tcPr>
            <w:tcW w:w="888" w:type="dxa"/>
            <w:tcBorders>
              <w:top w:val="nil"/>
              <w:left w:val="nil"/>
              <w:bottom w:val="nil"/>
              <w:right w:val="single" w:sz="4" w:space="0" w:color="000000"/>
            </w:tcBorders>
            <w:shd w:val="clear" w:color="000000" w:fill="FFFFFF"/>
            <w:vAlign w:val="center"/>
            <w:hideMark/>
          </w:tcPr>
          <w:p w14:paraId="576FB167" w14:textId="77777777" w:rsidR="00A527A7" w:rsidRPr="00A527A7" w:rsidRDefault="00A527A7" w:rsidP="00A527A7">
            <w:pPr>
              <w:spacing w:after="0" w:line="240" w:lineRule="auto"/>
              <w:jc w:val="right"/>
              <w:rPr>
                <w:rFonts w:ascii="SansSerif" w:eastAsia="Times New Roman" w:hAnsi="SansSerif" w:cs="Arial"/>
                <w:color w:val="000000"/>
                <w:sz w:val="24"/>
                <w:szCs w:val="24"/>
              </w:rPr>
            </w:pPr>
            <w:r w:rsidRPr="00A527A7">
              <w:rPr>
                <w:rFonts w:ascii="SansSerif" w:eastAsia="Times New Roman" w:hAnsi="SansSerif" w:cs="Arial"/>
                <w:color w:val="000000"/>
                <w:sz w:val="24"/>
                <w:szCs w:val="24"/>
              </w:rPr>
              <w:t>Fall 2021</w:t>
            </w:r>
          </w:p>
        </w:tc>
        <w:tc>
          <w:tcPr>
            <w:tcW w:w="482" w:type="dxa"/>
            <w:tcBorders>
              <w:top w:val="nil"/>
              <w:left w:val="nil"/>
              <w:bottom w:val="single" w:sz="4" w:space="0" w:color="000000"/>
              <w:right w:val="single" w:sz="4" w:space="0" w:color="000000"/>
            </w:tcBorders>
            <w:shd w:val="clear" w:color="000000" w:fill="FFFFFF"/>
            <w:vAlign w:val="center"/>
            <w:hideMark/>
          </w:tcPr>
          <w:p w14:paraId="72F5ABC2" w14:textId="77777777" w:rsidR="00A527A7" w:rsidRPr="00A527A7" w:rsidRDefault="00A527A7" w:rsidP="00A527A7">
            <w:pPr>
              <w:spacing w:after="0" w:line="240" w:lineRule="auto"/>
              <w:jc w:val="center"/>
              <w:rPr>
                <w:rFonts w:ascii="SansSerif" w:eastAsia="Times New Roman" w:hAnsi="SansSerif" w:cs="Arial"/>
                <w:color w:val="000000"/>
                <w:sz w:val="24"/>
                <w:szCs w:val="24"/>
              </w:rPr>
            </w:pPr>
            <w:r w:rsidRPr="00A527A7">
              <w:rPr>
                <w:rFonts w:ascii="SansSerif" w:eastAsia="Times New Roman" w:hAnsi="SansSerif" w:cs="Arial"/>
                <w:color w:val="000000"/>
                <w:sz w:val="24"/>
                <w:szCs w:val="24"/>
              </w:rPr>
              <w:t>13</w:t>
            </w:r>
          </w:p>
        </w:tc>
        <w:tc>
          <w:tcPr>
            <w:tcW w:w="1011" w:type="dxa"/>
            <w:tcBorders>
              <w:top w:val="nil"/>
              <w:left w:val="nil"/>
              <w:bottom w:val="single" w:sz="4" w:space="0" w:color="000000"/>
              <w:right w:val="single" w:sz="4" w:space="0" w:color="000000"/>
            </w:tcBorders>
            <w:shd w:val="clear" w:color="000000" w:fill="FFFFFF"/>
            <w:vAlign w:val="center"/>
            <w:hideMark/>
          </w:tcPr>
          <w:p w14:paraId="55CB2E88" w14:textId="77777777" w:rsidR="00A527A7" w:rsidRPr="00A527A7" w:rsidRDefault="00A527A7" w:rsidP="00A527A7">
            <w:pPr>
              <w:spacing w:after="0" w:line="240" w:lineRule="auto"/>
              <w:jc w:val="center"/>
              <w:rPr>
                <w:rFonts w:ascii="SansSerif" w:eastAsia="Times New Roman" w:hAnsi="SansSerif" w:cs="Arial"/>
                <w:color w:val="000000"/>
                <w:sz w:val="24"/>
                <w:szCs w:val="24"/>
              </w:rPr>
            </w:pPr>
            <w:r w:rsidRPr="00A527A7">
              <w:rPr>
                <w:rFonts w:ascii="SansSerif" w:eastAsia="Times New Roman" w:hAnsi="SansSerif" w:cs="Arial"/>
                <w:color w:val="000000"/>
                <w:sz w:val="24"/>
                <w:szCs w:val="24"/>
              </w:rPr>
              <w:t>37.14%</w:t>
            </w:r>
          </w:p>
        </w:tc>
        <w:tc>
          <w:tcPr>
            <w:tcW w:w="349" w:type="dxa"/>
            <w:tcBorders>
              <w:top w:val="single" w:sz="4" w:space="0" w:color="000000"/>
              <w:left w:val="nil"/>
              <w:bottom w:val="single" w:sz="4" w:space="0" w:color="000000"/>
              <w:right w:val="single" w:sz="4" w:space="0" w:color="000000"/>
            </w:tcBorders>
            <w:shd w:val="clear" w:color="000000" w:fill="FFFFFF"/>
            <w:vAlign w:val="center"/>
            <w:hideMark/>
          </w:tcPr>
          <w:p w14:paraId="6EC4F763" w14:textId="77777777" w:rsidR="00A527A7" w:rsidRPr="00A527A7" w:rsidRDefault="00A527A7" w:rsidP="00A527A7">
            <w:pPr>
              <w:spacing w:after="0" w:line="240" w:lineRule="auto"/>
              <w:jc w:val="center"/>
              <w:rPr>
                <w:rFonts w:ascii="SansSerif" w:eastAsia="Times New Roman" w:hAnsi="SansSerif" w:cs="Arial"/>
                <w:color w:val="000000"/>
                <w:sz w:val="24"/>
                <w:szCs w:val="24"/>
              </w:rPr>
            </w:pPr>
            <w:r w:rsidRPr="00A527A7">
              <w:rPr>
                <w:rFonts w:ascii="SansSerif" w:eastAsia="Times New Roman" w:hAnsi="SansSerif" w:cs="Arial"/>
                <w:color w:val="000000"/>
                <w:sz w:val="24"/>
                <w:szCs w:val="24"/>
              </w:rPr>
              <w:t>0</w:t>
            </w:r>
          </w:p>
        </w:tc>
        <w:tc>
          <w:tcPr>
            <w:tcW w:w="1011" w:type="dxa"/>
            <w:tcBorders>
              <w:top w:val="single" w:sz="4" w:space="0" w:color="000000"/>
              <w:left w:val="nil"/>
              <w:bottom w:val="single" w:sz="4" w:space="0" w:color="000000"/>
              <w:right w:val="single" w:sz="4" w:space="0" w:color="000000"/>
            </w:tcBorders>
            <w:shd w:val="clear" w:color="000000" w:fill="FFFFFF"/>
            <w:vAlign w:val="center"/>
            <w:hideMark/>
          </w:tcPr>
          <w:p w14:paraId="155384F5" w14:textId="77777777" w:rsidR="00A527A7" w:rsidRPr="00A527A7" w:rsidRDefault="00A527A7" w:rsidP="00A527A7">
            <w:pPr>
              <w:spacing w:after="0" w:line="240" w:lineRule="auto"/>
              <w:jc w:val="center"/>
              <w:rPr>
                <w:rFonts w:ascii="SansSerif" w:eastAsia="Times New Roman" w:hAnsi="SansSerif" w:cs="Arial"/>
                <w:color w:val="000000"/>
                <w:sz w:val="24"/>
                <w:szCs w:val="24"/>
              </w:rPr>
            </w:pPr>
            <w:r w:rsidRPr="00A527A7">
              <w:rPr>
                <w:rFonts w:ascii="SansSerif" w:eastAsia="Times New Roman" w:hAnsi="SansSerif" w:cs="Arial"/>
                <w:color w:val="000000"/>
                <w:sz w:val="24"/>
                <w:szCs w:val="24"/>
              </w:rPr>
              <w:t>0.00%</w:t>
            </w:r>
          </w:p>
        </w:tc>
        <w:tc>
          <w:tcPr>
            <w:tcW w:w="490" w:type="dxa"/>
            <w:tcBorders>
              <w:top w:val="nil"/>
              <w:left w:val="nil"/>
              <w:bottom w:val="single" w:sz="4" w:space="0" w:color="000000"/>
              <w:right w:val="single" w:sz="4" w:space="0" w:color="000000"/>
            </w:tcBorders>
            <w:shd w:val="clear" w:color="000000" w:fill="FFFFFF"/>
            <w:vAlign w:val="center"/>
            <w:hideMark/>
          </w:tcPr>
          <w:p w14:paraId="40206560" w14:textId="77777777" w:rsidR="00A527A7" w:rsidRPr="00A527A7" w:rsidRDefault="00A527A7" w:rsidP="00A527A7">
            <w:pPr>
              <w:spacing w:after="0" w:line="240" w:lineRule="auto"/>
              <w:jc w:val="center"/>
              <w:rPr>
                <w:rFonts w:ascii="SansSerif" w:eastAsia="Times New Roman" w:hAnsi="SansSerif" w:cs="Arial"/>
                <w:color w:val="000000"/>
                <w:sz w:val="24"/>
                <w:szCs w:val="24"/>
              </w:rPr>
            </w:pPr>
            <w:r w:rsidRPr="00A527A7">
              <w:rPr>
                <w:rFonts w:ascii="SansSerif" w:eastAsia="Times New Roman" w:hAnsi="SansSerif" w:cs="Arial"/>
                <w:color w:val="000000"/>
                <w:sz w:val="24"/>
                <w:szCs w:val="24"/>
              </w:rPr>
              <w:t>4</w:t>
            </w:r>
          </w:p>
        </w:tc>
        <w:tc>
          <w:tcPr>
            <w:tcW w:w="1027" w:type="dxa"/>
            <w:tcBorders>
              <w:top w:val="nil"/>
              <w:left w:val="nil"/>
              <w:bottom w:val="single" w:sz="4" w:space="0" w:color="000000"/>
              <w:right w:val="single" w:sz="4" w:space="0" w:color="000000"/>
            </w:tcBorders>
            <w:shd w:val="clear" w:color="000000" w:fill="FFFFFF"/>
            <w:vAlign w:val="center"/>
            <w:hideMark/>
          </w:tcPr>
          <w:p w14:paraId="35DDDA75" w14:textId="77777777" w:rsidR="00A527A7" w:rsidRPr="00A527A7" w:rsidRDefault="00A527A7" w:rsidP="00A527A7">
            <w:pPr>
              <w:spacing w:after="0" w:line="240" w:lineRule="auto"/>
              <w:jc w:val="center"/>
              <w:rPr>
                <w:rFonts w:ascii="SansSerif" w:eastAsia="Times New Roman" w:hAnsi="SansSerif" w:cs="Arial"/>
                <w:color w:val="000000"/>
                <w:sz w:val="24"/>
                <w:szCs w:val="24"/>
              </w:rPr>
            </w:pPr>
            <w:r w:rsidRPr="00A527A7">
              <w:rPr>
                <w:rFonts w:ascii="SansSerif" w:eastAsia="Times New Roman" w:hAnsi="SansSerif" w:cs="Arial"/>
                <w:color w:val="000000"/>
                <w:sz w:val="24"/>
                <w:szCs w:val="24"/>
              </w:rPr>
              <w:t>11.43%</w:t>
            </w:r>
          </w:p>
        </w:tc>
        <w:tc>
          <w:tcPr>
            <w:tcW w:w="490" w:type="dxa"/>
            <w:tcBorders>
              <w:top w:val="nil"/>
              <w:left w:val="nil"/>
              <w:bottom w:val="single" w:sz="4" w:space="0" w:color="000000"/>
              <w:right w:val="single" w:sz="4" w:space="0" w:color="000000"/>
            </w:tcBorders>
            <w:shd w:val="clear" w:color="000000" w:fill="FFFFFF"/>
            <w:vAlign w:val="center"/>
            <w:hideMark/>
          </w:tcPr>
          <w:p w14:paraId="1B129864" w14:textId="77777777" w:rsidR="00A527A7" w:rsidRPr="00A527A7" w:rsidRDefault="00A527A7" w:rsidP="00A527A7">
            <w:pPr>
              <w:spacing w:after="0" w:line="240" w:lineRule="auto"/>
              <w:jc w:val="center"/>
              <w:rPr>
                <w:rFonts w:ascii="SansSerif" w:eastAsia="Times New Roman" w:hAnsi="SansSerif" w:cs="Arial"/>
                <w:color w:val="000000"/>
                <w:sz w:val="24"/>
                <w:szCs w:val="24"/>
              </w:rPr>
            </w:pPr>
            <w:r w:rsidRPr="00A527A7">
              <w:rPr>
                <w:rFonts w:ascii="SansSerif" w:eastAsia="Times New Roman" w:hAnsi="SansSerif" w:cs="Arial"/>
                <w:color w:val="000000"/>
                <w:sz w:val="24"/>
                <w:szCs w:val="24"/>
              </w:rPr>
              <w:t>18</w:t>
            </w:r>
          </w:p>
        </w:tc>
        <w:tc>
          <w:tcPr>
            <w:tcW w:w="1027" w:type="dxa"/>
            <w:tcBorders>
              <w:top w:val="nil"/>
              <w:left w:val="nil"/>
              <w:bottom w:val="single" w:sz="4" w:space="0" w:color="000000"/>
              <w:right w:val="single" w:sz="4" w:space="0" w:color="000000"/>
            </w:tcBorders>
            <w:shd w:val="clear" w:color="000000" w:fill="FFFFFF"/>
            <w:vAlign w:val="center"/>
            <w:hideMark/>
          </w:tcPr>
          <w:p w14:paraId="336CFEA8" w14:textId="77777777" w:rsidR="00A527A7" w:rsidRPr="00A527A7" w:rsidRDefault="00A527A7" w:rsidP="00A527A7">
            <w:pPr>
              <w:spacing w:after="0" w:line="240" w:lineRule="auto"/>
              <w:jc w:val="center"/>
              <w:rPr>
                <w:rFonts w:ascii="SansSerif" w:eastAsia="Times New Roman" w:hAnsi="SansSerif" w:cs="Arial"/>
                <w:color w:val="000000"/>
                <w:sz w:val="24"/>
                <w:szCs w:val="24"/>
              </w:rPr>
            </w:pPr>
            <w:r w:rsidRPr="00A527A7">
              <w:rPr>
                <w:rFonts w:ascii="SansSerif" w:eastAsia="Times New Roman" w:hAnsi="SansSerif" w:cs="Arial"/>
                <w:color w:val="000000"/>
                <w:sz w:val="24"/>
                <w:szCs w:val="24"/>
              </w:rPr>
              <w:t>51.43%</w:t>
            </w:r>
          </w:p>
        </w:tc>
        <w:tc>
          <w:tcPr>
            <w:tcW w:w="482" w:type="dxa"/>
            <w:tcBorders>
              <w:top w:val="nil"/>
              <w:left w:val="nil"/>
              <w:bottom w:val="single" w:sz="4" w:space="0" w:color="000000"/>
              <w:right w:val="single" w:sz="4" w:space="0" w:color="000000"/>
            </w:tcBorders>
            <w:shd w:val="clear" w:color="000000" w:fill="FFFFFF"/>
            <w:vAlign w:val="center"/>
            <w:hideMark/>
          </w:tcPr>
          <w:p w14:paraId="7772540F" w14:textId="77777777" w:rsidR="00A527A7" w:rsidRPr="00A527A7" w:rsidRDefault="00A527A7" w:rsidP="00A527A7">
            <w:pPr>
              <w:spacing w:after="0" w:line="240" w:lineRule="auto"/>
              <w:jc w:val="center"/>
              <w:rPr>
                <w:rFonts w:ascii="SansSerif" w:eastAsia="Times New Roman" w:hAnsi="SansSerif" w:cs="Arial"/>
                <w:color w:val="000000"/>
                <w:sz w:val="24"/>
                <w:szCs w:val="24"/>
              </w:rPr>
            </w:pPr>
            <w:r w:rsidRPr="00A527A7">
              <w:rPr>
                <w:rFonts w:ascii="SansSerif" w:eastAsia="Times New Roman" w:hAnsi="SansSerif" w:cs="Arial"/>
                <w:color w:val="000000"/>
                <w:sz w:val="24"/>
                <w:szCs w:val="24"/>
              </w:rPr>
              <w:t>35</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14:paraId="780FCC44" w14:textId="77777777" w:rsidR="00A527A7" w:rsidRPr="00A527A7" w:rsidRDefault="00A527A7" w:rsidP="00A527A7">
            <w:pPr>
              <w:spacing w:after="0" w:line="240" w:lineRule="auto"/>
              <w:jc w:val="center"/>
              <w:rPr>
                <w:rFonts w:ascii="SansSerif" w:eastAsia="Times New Roman" w:hAnsi="SansSerif" w:cs="Arial"/>
                <w:color w:val="000000"/>
                <w:sz w:val="24"/>
                <w:szCs w:val="24"/>
              </w:rPr>
            </w:pPr>
            <w:r w:rsidRPr="00A527A7">
              <w:rPr>
                <w:rFonts w:ascii="SansSerif" w:eastAsia="Times New Roman" w:hAnsi="SansSerif" w:cs="Arial"/>
                <w:color w:val="000000"/>
                <w:sz w:val="24"/>
                <w:szCs w:val="24"/>
              </w:rPr>
              <w:t>100.00%</w:t>
            </w:r>
          </w:p>
        </w:tc>
        <w:tc>
          <w:tcPr>
            <w:tcW w:w="222" w:type="dxa"/>
            <w:tcBorders>
              <w:top w:val="nil"/>
              <w:left w:val="nil"/>
              <w:bottom w:val="nil"/>
              <w:right w:val="nil"/>
            </w:tcBorders>
            <w:shd w:val="clear" w:color="auto" w:fill="auto"/>
            <w:hideMark/>
          </w:tcPr>
          <w:p w14:paraId="111C409F" w14:textId="77777777" w:rsidR="00A527A7" w:rsidRPr="00A527A7" w:rsidRDefault="00A527A7" w:rsidP="00A527A7">
            <w:pPr>
              <w:spacing w:after="0" w:line="240" w:lineRule="auto"/>
              <w:jc w:val="center"/>
              <w:rPr>
                <w:rFonts w:ascii="SansSerif" w:eastAsia="Times New Roman" w:hAnsi="SansSerif" w:cs="Arial"/>
                <w:color w:val="000000"/>
                <w:sz w:val="24"/>
                <w:szCs w:val="24"/>
              </w:rPr>
            </w:pPr>
          </w:p>
        </w:tc>
        <w:tc>
          <w:tcPr>
            <w:tcW w:w="269" w:type="dxa"/>
            <w:tcBorders>
              <w:top w:val="nil"/>
              <w:left w:val="nil"/>
              <w:bottom w:val="nil"/>
              <w:right w:val="single" w:sz="4" w:space="0" w:color="000000"/>
            </w:tcBorders>
            <w:shd w:val="clear" w:color="auto" w:fill="auto"/>
            <w:hideMark/>
          </w:tcPr>
          <w:p w14:paraId="03E7C73E" w14:textId="77777777" w:rsidR="00A527A7" w:rsidRPr="00A527A7" w:rsidRDefault="00A527A7" w:rsidP="00A527A7">
            <w:pPr>
              <w:spacing w:after="0" w:line="240" w:lineRule="auto"/>
              <w:rPr>
                <w:rFonts w:ascii="SansSerif" w:eastAsia="Times New Roman" w:hAnsi="SansSerif" w:cs="Arial"/>
                <w:color w:val="000000"/>
                <w:sz w:val="24"/>
                <w:szCs w:val="24"/>
              </w:rPr>
            </w:pPr>
            <w:r w:rsidRPr="00A527A7">
              <w:rPr>
                <w:rFonts w:ascii="SansSerif" w:eastAsia="Times New Roman" w:hAnsi="SansSerif" w:cs="Arial"/>
                <w:color w:val="000000"/>
                <w:sz w:val="24"/>
                <w:szCs w:val="24"/>
              </w:rPr>
              <w:t> </w:t>
            </w:r>
          </w:p>
        </w:tc>
      </w:tr>
      <w:tr w:rsidR="00A527A7" w:rsidRPr="00A527A7" w14:paraId="2C347F21" w14:textId="77777777" w:rsidTr="008349C2">
        <w:trPr>
          <w:trHeight w:val="251"/>
        </w:trPr>
        <w:tc>
          <w:tcPr>
            <w:tcW w:w="269" w:type="dxa"/>
            <w:tcBorders>
              <w:top w:val="nil"/>
              <w:left w:val="single" w:sz="4" w:space="0" w:color="000000"/>
              <w:bottom w:val="nil"/>
              <w:right w:val="nil"/>
            </w:tcBorders>
            <w:shd w:val="clear" w:color="auto" w:fill="auto"/>
            <w:hideMark/>
          </w:tcPr>
          <w:p w14:paraId="5C6B04C4" w14:textId="77777777" w:rsidR="00A527A7" w:rsidRPr="00A527A7" w:rsidRDefault="00A527A7" w:rsidP="00A527A7">
            <w:pPr>
              <w:spacing w:after="0" w:line="240" w:lineRule="auto"/>
              <w:rPr>
                <w:rFonts w:ascii="SansSerif" w:eastAsia="Times New Roman" w:hAnsi="SansSerif" w:cs="Arial"/>
                <w:color w:val="000000"/>
                <w:sz w:val="24"/>
                <w:szCs w:val="24"/>
              </w:rPr>
            </w:pPr>
            <w:r w:rsidRPr="00A527A7">
              <w:rPr>
                <w:rFonts w:ascii="SansSerif" w:eastAsia="Times New Roman" w:hAnsi="SansSerif" w:cs="Arial"/>
                <w:color w:val="000000"/>
                <w:sz w:val="24"/>
                <w:szCs w:val="24"/>
              </w:rPr>
              <w:t> </w:t>
            </w:r>
          </w:p>
        </w:tc>
        <w:tc>
          <w:tcPr>
            <w:tcW w:w="269" w:type="dxa"/>
            <w:tcBorders>
              <w:top w:val="nil"/>
              <w:left w:val="nil"/>
              <w:bottom w:val="nil"/>
              <w:right w:val="nil"/>
            </w:tcBorders>
            <w:shd w:val="clear" w:color="auto" w:fill="auto"/>
            <w:hideMark/>
          </w:tcPr>
          <w:p w14:paraId="10A2C7DF" w14:textId="77777777" w:rsidR="00A527A7" w:rsidRPr="00A527A7" w:rsidRDefault="00A527A7" w:rsidP="00A527A7">
            <w:pPr>
              <w:spacing w:after="0" w:line="240" w:lineRule="auto"/>
              <w:rPr>
                <w:rFonts w:ascii="SansSerif" w:eastAsia="Times New Roman" w:hAnsi="SansSerif" w:cs="Arial"/>
                <w:color w:val="000000"/>
                <w:sz w:val="24"/>
                <w:szCs w:val="24"/>
              </w:rPr>
            </w:pPr>
          </w:p>
        </w:tc>
        <w:tc>
          <w:tcPr>
            <w:tcW w:w="269" w:type="dxa"/>
            <w:tcBorders>
              <w:top w:val="nil"/>
              <w:left w:val="nil"/>
              <w:bottom w:val="nil"/>
              <w:right w:val="nil"/>
            </w:tcBorders>
            <w:shd w:val="clear" w:color="auto" w:fill="auto"/>
            <w:hideMark/>
          </w:tcPr>
          <w:p w14:paraId="4FDA625E" w14:textId="77777777" w:rsidR="00A527A7" w:rsidRPr="00A527A7" w:rsidRDefault="00A527A7" w:rsidP="00A527A7">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hideMark/>
          </w:tcPr>
          <w:p w14:paraId="07FC9E5F" w14:textId="77777777" w:rsidR="00A527A7" w:rsidRPr="00A527A7" w:rsidRDefault="00A527A7" w:rsidP="00A527A7">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hideMark/>
          </w:tcPr>
          <w:p w14:paraId="01545D69" w14:textId="77777777" w:rsidR="00A527A7" w:rsidRPr="00A527A7" w:rsidRDefault="00A527A7" w:rsidP="00A527A7">
            <w:pPr>
              <w:spacing w:after="0" w:line="240" w:lineRule="auto"/>
              <w:rPr>
                <w:rFonts w:ascii="Times New Roman" w:eastAsia="Times New Roman" w:hAnsi="Times New Roman" w:cs="Times New Roman"/>
                <w:sz w:val="20"/>
                <w:szCs w:val="20"/>
              </w:rPr>
            </w:pPr>
          </w:p>
        </w:tc>
        <w:tc>
          <w:tcPr>
            <w:tcW w:w="888" w:type="dxa"/>
            <w:tcBorders>
              <w:top w:val="nil"/>
              <w:left w:val="nil"/>
              <w:bottom w:val="nil"/>
              <w:right w:val="single" w:sz="4" w:space="0" w:color="000000"/>
            </w:tcBorders>
            <w:shd w:val="clear" w:color="000000" w:fill="FFFFFF"/>
            <w:vAlign w:val="center"/>
            <w:hideMark/>
          </w:tcPr>
          <w:p w14:paraId="1C902FC8" w14:textId="77777777" w:rsidR="00A527A7" w:rsidRPr="00A527A7" w:rsidRDefault="00A527A7" w:rsidP="00A527A7">
            <w:pPr>
              <w:spacing w:after="0" w:line="240" w:lineRule="auto"/>
              <w:jc w:val="right"/>
              <w:rPr>
                <w:rFonts w:ascii="SansSerif" w:eastAsia="Times New Roman" w:hAnsi="SansSerif" w:cs="Arial"/>
                <w:color w:val="000000"/>
                <w:sz w:val="24"/>
                <w:szCs w:val="24"/>
              </w:rPr>
            </w:pPr>
            <w:r w:rsidRPr="00A527A7">
              <w:rPr>
                <w:rFonts w:ascii="SansSerif" w:eastAsia="Times New Roman" w:hAnsi="SansSerif" w:cs="Arial"/>
                <w:color w:val="000000"/>
                <w:sz w:val="24"/>
                <w:szCs w:val="24"/>
              </w:rPr>
              <w:t>Totals</w:t>
            </w:r>
          </w:p>
        </w:tc>
        <w:tc>
          <w:tcPr>
            <w:tcW w:w="482" w:type="dxa"/>
            <w:tcBorders>
              <w:top w:val="nil"/>
              <w:left w:val="nil"/>
              <w:bottom w:val="single" w:sz="4" w:space="0" w:color="000000"/>
              <w:right w:val="single" w:sz="4" w:space="0" w:color="000000"/>
            </w:tcBorders>
            <w:shd w:val="clear" w:color="000000" w:fill="CCCCFF"/>
            <w:vAlign w:val="center"/>
            <w:hideMark/>
          </w:tcPr>
          <w:p w14:paraId="6285CCB2" w14:textId="77777777" w:rsidR="00A527A7" w:rsidRPr="00A527A7" w:rsidRDefault="00A527A7" w:rsidP="00A527A7">
            <w:pPr>
              <w:spacing w:after="0" w:line="240" w:lineRule="auto"/>
              <w:jc w:val="center"/>
              <w:rPr>
                <w:rFonts w:ascii="SansSerif" w:eastAsia="Times New Roman" w:hAnsi="SansSerif" w:cs="Arial"/>
                <w:color w:val="000000"/>
                <w:sz w:val="24"/>
                <w:szCs w:val="24"/>
              </w:rPr>
            </w:pPr>
            <w:r w:rsidRPr="00A527A7">
              <w:rPr>
                <w:rFonts w:ascii="SansSerif" w:eastAsia="Times New Roman" w:hAnsi="SansSerif" w:cs="Arial"/>
                <w:color w:val="000000"/>
                <w:sz w:val="24"/>
                <w:szCs w:val="24"/>
              </w:rPr>
              <w:t>22</w:t>
            </w:r>
          </w:p>
        </w:tc>
        <w:tc>
          <w:tcPr>
            <w:tcW w:w="1011" w:type="dxa"/>
            <w:tcBorders>
              <w:top w:val="nil"/>
              <w:left w:val="nil"/>
              <w:bottom w:val="single" w:sz="4" w:space="0" w:color="000000"/>
              <w:right w:val="single" w:sz="4" w:space="0" w:color="000000"/>
            </w:tcBorders>
            <w:shd w:val="clear" w:color="000000" w:fill="CCCCFF"/>
            <w:vAlign w:val="center"/>
            <w:hideMark/>
          </w:tcPr>
          <w:p w14:paraId="420AA11E" w14:textId="77777777" w:rsidR="00A527A7" w:rsidRPr="00A527A7" w:rsidRDefault="00A527A7" w:rsidP="00A527A7">
            <w:pPr>
              <w:spacing w:after="0" w:line="240" w:lineRule="auto"/>
              <w:jc w:val="center"/>
              <w:rPr>
                <w:rFonts w:ascii="SansSerif" w:eastAsia="Times New Roman" w:hAnsi="SansSerif" w:cs="Arial"/>
                <w:color w:val="000000"/>
                <w:sz w:val="24"/>
                <w:szCs w:val="24"/>
              </w:rPr>
            </w:pPr>
            <w:r w:rsidRPr="00A527A7">
              <w:rPr>
                <w:rFonts w:ascii="SansSerif" w:eastAsia="Times New Roman" w:hAnsi="SansSerif" w:cs="Arial"/>
                <w:color w:val="000000"/>
                <w:sz w:val="24"/>
                <w:szCs w:val="24"/>
              </w:rPr>
              <w:t>37.29%</w:t>
            </w:r>
          </w:p>
        </w:tc>
        <w:tc>
          <w:tcPr>
            <w:tcW w:w="349" w:type="dxa"/>
            <w:tcBorders>
              <w:top w:val="single" w:sz="4" w:space="0" w:color="000000"/>
              <w:left w:val="nil"/>
              <w:bottom w:val="single" w:sz="4" w:space="0" w:color="000000"/>
              <w:right w:val="single" w:sz="4" w:space="0" w:color="000000"/>
            </w:tcBorders>
            <w:shd w:val="clear" w:color="000000" w:fill="CCCCFF"/>
            <w:vAlign w:val="center"/>
            <w:hideMark/>
          </w:tcPr>
          <w:p w14:paraId="2CD3D2F7" w14:textId="77777777" w:rsidR="00A527A7" w:rsidRPr="00A527A7" w:rsidRDefault="00A527A7" w:rsidP="00A527A7">
            <w:pPr>
              <w:spacing w:after="0" w:line="240" w:lineRule="auto"/>
              <w:jc w:val="center"/>
              <w:rPr>
                <w:rFonts w:ascii="SansSerif" w:eastAsia="Times New Roman" w:hAnsi="SansSerif" w:cs="Arial"/>
                <w:color w:val="000000"/>
                <w:sz w:val="24"/>
                <w:szCs w:val="24"/>
              </w:rPr>
            </w:pPr>
            <w:r w:rsidRPr="00A527A7">
              <w:rPr>
                <w:rFonts w:ascii="SansSerif" w:eastAsia="Times New Roman" w:hAnsi="SansSerif" w:cs="Arial"/>
                <w:color w:val="000000"/>
                <w:sz w:val="24"/>
                <w:szCs w:val="24"/>
              </w:rPr>
              <w:t>7</w:t>
            </w:r>
          </w:p>
        </w:tc>
        <w:tc>
          <w:tcPr>
            <w:tcW w:w="1011" w:type="dxa"/>
            <w:tcBorders>
              <w:top w:val="single" w:sz="4" w:space="0" w:color="000000"/>
              <w:left w:val="nil"/>
              <w:bottom w:val="single" w:sz="4" w:space="0" w:color="000000"/>
              <w:right w:val="single" w:sz="4" w:space="0" w:color="000000"/>
            </w:tcBorders>
            <w:shd w:val="clear" w:color="000000" w:fill="CCCCFF"/>
            <w:vAlign w:val="center"/>
            <w:hideMark/>
          </w:tcPr>
          <w:p w14:paraId="55512A1E" w14:textId="77777777" w:rsidR="00A527A7" w:rsidRPr="00A527A7" w:rsidRDefault="00A527A7" w:rsidP="00A527A7">
            <w:pPr>
              <w:spacing w:after="0" w:line="240" w:lineRule="auto"/>
              <w:jc w:val="center"/>
              <w:rPr>
                <w:rFonts w:ascii="SansSerif" w:eastAsia="Times New Roman" w:hAnsi="SansSerif" w:cs="Arial"/>
                <w:color w:val="000000"/>
                <w:sz w:val="24"/>
                <w:szCs w:val="24"/>
              </w:rPr>
            </w:pPr>
            <w:r w:rsidRPr="00A527A7">
              <w:rPr>
                <w:rFonts w:ascii="SansSerif" w:eastAsia="Times New Roman" w:hAnsi="SansSerif" w:cs="Arial"/>
                <w:color w:val="000000"/>
                <w:sz w:val="24"/>
                <w:szCs w:val="24"/>
              </w:rPr>
              <w:t>11.86%</w:t>
            </w:r>
          </w:p>
        </w:tc>
        <w:tc>
          <w:tcPr>
            <w:tcW w:w="490" w:type="dxa"/>
            <w:tcBorders>
              <w:top w:val="nil"/>
              <w:left w:val="nil"/>
              <w:bottom w:val="single" w:sz="4" w:space="0" w:color="000000"/>
              <w:right w:val="single" w:sz="4" w:space="0" w:color="000000"/>
            </w:tcBorders>
            <w:shd w:val="clear" w:color="000000" w:fill="CCCCFF"/>
            <w:vAlign w:val="center"/>
            <w:hideMark/>
          </w:tcPr>
          <w:p w14:paraId="25C99951" w14:textId="77777777" w:rsidR="00A527A7" w:rsidRPr="00A527A7" w:rsidRDefault="00A527A7" w:rsidP="00A527A7">
            <w:pPr>
              <w:spacing w:after="0" w:line="240" w:lineRule="auto"/>
              <w:jc w:val="center"/>
              <w:rPr>
                <w:rFonts w:ascii="SansSerif" w:eastAsia="Times New Roman" w:hAnsi="SansSerif" w:cs="Arial"/>
                <w:color w:val="000000"/>
                <w:sz w:val="24"/>
                <w:szCs w:val="24"/>
              </w:rPr>
            </w:pPr>
            <w:r w:rsidRPr="00A527A7">
              <w:rPr>
                <w:rFonts w:ascii="SansSerif" w:eastAsia="Times New Roman" w:hAnsi="SansSerif" w:cs="Arial"/>
                <w:color w:val="000000"/>
                <w:sz w:val="24"/>
                <w:szCs w:val="24"/>
              </w:rPr>
              <w:t>11</w:t>
            </w:r>
          </w:p>
        </w:tc>
        <w:tc>
          <w:tcPr>
            <w:tcW w:w="1027" w:type="dxa"/>
            <w:tcBorders>
              <w:top w:val="nil"/>
              <w:left w:val="nil"/>
              <w:bottom w:val="single" w:sz="4" w:space="0" w:color="000000"/>
              <w:right w:val="single" w:sz="4" w:space="0" w:color="000000"/>
            </w:tcBorders>
            <w:shd w:val="clear" w:color="000000" w:fill="CCCCFF"/>
            <w:vAlign w:val="center"/>
            <w:hideMark/>
          </w:tcPr>
          <w:p w14:paraId="420B78CA" w14:textId="77777777" w:rsidR="00A527A7" w:rsidRPr="00A527A7" w:rsidRDefault="00A527A7" w:rsidP="00A527A7">
            <w:pPr>
              <w:spacing w:after="0" w:line="240" w:lineRule="auto"/>
              <w:jc w:val="center"/>
              <w:rPr>
                <w:rFonts w:ascii="SansSerif" w:eastAsia="Times New Roman" w:hAnsi="SansSerif" w:cs="Arial"/>
                <w:color w:val="000000"/>
                <w:sz w:val="24"/>
                <w:szCs w:val="24"/>
              </w:rPr>
            </w:pPr>
            <w:r w:rsidRPr="00A527A7">
              <w:rPr>
                <w:rFonts w:ascii="SansSerif" w:eastAsia="Times New Roman" w:hAnsi="SansSerif" w:cs="Arial"/>
                <w:color w:val="000000"/>
                <w:sz w:val="24"/>
                <w:szCs w:val="24"/>
              </w:rPr>
              <w:t>18.64%</w:t>
            </w:r>
          </w:p>
        </w:tc>
        <w:tc>
          <w:tcPr>
            <w:tcW w:w="490" w:type="dxa"/>
            <w:tcBorders>
              <w:top w:val="nil"/>
              <w:left w:val="nil"/>
              <w:bottom w:val="single" w:sz="4" w:space="0" w:color="000000"/>
              <w:right w:val="single" w:sz="4" w:space="0" w:color="000000"/>
            </w:tcBorders>
            <w:shd w:val="clear" w:color="000000" w:fill="CCCCFF"/>
            <w:vAlign w:val="center"/>
            <w:hideMark/>
          </w:tcPr>
          <w:p w14:paraId="4D25B858" w14:textId="77777777" w:rsidR="00A527A7" w:rsidRPr="00A527A7" w:rsidRDefault="00A527A7" w:rsidP="00A527A7">
            <w:pPr>
              <w:spacing w:after="0" w:line="240" w:lineRule="auto"/>
              <w:jc w:val="center"/>
              <w:rPr>
                <w:rFonts w:ascii="SansSerif" w:eastAsia="Times New Roman" w:hAnsi="SansSerif" w:cs="Arial"/>
                <w:color w:val="000000"/>
                <w:sz w:val="24"/>
                <w:szCs w:val="24"/>
              </w:rPr>
            </w:pPr>
            <w:r w:rsidRPr="00A527A7">
              <w:rPr>
                <w:rFonts w:ascii="SansSerif" w:eastAsia="Times New Roman" w:hAnsi="SansSerif" w:cs="Arial"/>
                <w:color w:val="000000"/>
                <w:sz w:val="24"/>
                <w:szCs w:val="24"/>
              </w:rPr>
              <w:t>19</w:t>
            </w:r>
          </w:p>
        </w:tc>
        <w:tc>
          <w:tcPr>
            <w:tcW w:w="1027" w:type="dxa"/>
            <w:tcBorders>
              <w:top w:val="nil"/>
              <w:left w:val="nil"/>
              <w:bottom w:val="single" w:sz="4" w:space="0" w:color="000000"/>
              <w:right w:val="single" w:sz="4" w:space="0" w:color="000000"/>
            </w:tcBorders>
            <w:shd w:val="clear" w:color="000000" w:fill="CCCCFF"/>
            <w:vAlign w:val="center"/>
            <w:hideMark/>
          </w:tcPr>
          <w:p w14:paraId="3B1DF571" w14:textId="77777777" w:rsidR="00A527A7" w:rsidRPr="00A527A7" w:rsidRDefault="00A527A7" w:rsidP="00A527A7">
            <w:pPr>
              <w:spacing w:after="0" w:line="240" w:lineRule="auto"/>
              <w:jc w:val="center"/>
              <w:rPr>
                <w:rFonts w:ascii="SansSerif" w:eastAsia="Times New Roman" w:hAnsi="SansSerif" w:cs="Arial"/>
                <w:color w:val="000000"/>
                <w:sz w:val="24"/>
                <w:szCs w:val="24"/>
              </w:rPr>
            </w:pPr>
            <w:r w:rsidRPr="00A527A7">
              <w:rPr>
                <w:rFonts w:ascii="SansSerif" w:eastAsia="Times New Roman" w:hAnsi="SansSerif" w:cs="Arial"/>
                <w:color w:val="000000"/>
                <w:sz w:val="24"/>
                <w:szCs w:val="24"/>
              </w:rPr>
              <w:t>32.20%</w:t>
            </w:r>
          </w:p>
        </w:tc>
        <w:tc>
          <w:tcPr>
            <w:tcW w:w="482" w:type="dxa"/>
            <w:tcBorders>
              <w:top w:val="nil"/>
              <w:left w:val="nil"/>
              <w:bottom w:val="single" w:sz="4" w:space="0" w:color="000000"/>
              <w:right w:val="single" w:sz="4" w:space="0" w:color="000000"/>
            </w:tcBorders>
            <w:shd w:val="clear" w:color="000000" w:fill="CCCCFF"/>
            <w:vAlign w:val="center"/>
            <w:hideMark/>
          </w:tcPr>
          <w:p w14:paraId="075DB1FE" w14:textId="77777777" w:rsidR="00A527A7" w:rsidRPr="00A527A7" w:rsidRDefault="00A527A7" w:rsidP="00A527A7">
            <w:pPr>
              <w:spacing w:after="0" w:line="240" w:lineRule="auto"/>
              <w:jc w:val="center"/>
              <w:rPr>
                <w:rFonts w:ascii="SansSerif" w:eastAsia="Times New Roman" w:hAnsi="SansSerif" w:cs="Arial"/>
                <w:color w:val="000000"/>
                <w:sz w:val="24"/>
                <w:szCs w:val="24"/>
              </w:rPr>
            </w:pPr>
            <w:r w:rsidRPr="00A527A7">
              <w:rPr>
                <w:rFonts w:ascii="SansSerif" w:eastAsia="Times New Roman" w:hAnsi="SansSerif" w:cs="Arial"/>
                <w:color w:val="000000"/>
                <w:sz w:val="24"/>
                <w:szCs w:val="24"/>
              </w:rPr>
              <w:t>59</w:t>
            </w:r>
          </w:p>
        </w:tc>
        <w:tc>
          <w:tcPr>
            <w:tcW w:w="1144" w:type="dxa"/>
            <w:tcBorders>
              <w:top w:val="single" w:sz="4" w:space="0" w:color="000000"/>
              <w:left w:val="nil"/>
              <w:bottom w:val="single" w:sz="4" w:space="0" w:color="000000"/>
              <w:right w:val="single" w:sz="4" w:space="0" w:color="000000"/>
            </w:tcBorders>
            <w:shd w:val="clear" w:color="000000" w:fill="CCCCFF"/>
            <w:vAlign w:val="center"/>
            <w:hideMark/>
          </w:tcPr>
          <w:p w14:paraId="30820AC2" w14:textId="77777777" w:rsidR="00A527A7" w:rsidRPr="00A527A7" w:rsidRDefault="00A527A7" w:rsidP="00A527A7">
            <w:pPr>
              <w:spacing w:after="0" w:line="240" w:lineRule="auto"/>
              <w:jc w:val="center"/>
              <w:rPr>
                <w:rFonts w:ascii="SansSerif" w:eastAsia="Times New Roman" w:hAnsi="SansSerif" w:cs="Arial"/>
                <w:color w:val="000000"/>
                <w:sz w:val="24"/>
                <w:szCs w:val="24"/>
              </w:rPr>
            </w:pPr>
            <w:r w:rsidRPr="00A527A7">
              <w:rPr>
                <w:rFonts w:ascii="SansSerif" w:eastAsia="Times New Roman" w:hAnsi="SansSerif" w:cs="Arial"/>
                <w:color w:val="000000"/>
                <w:sz w:val="24"/>
                <w:szCs w:val="24"/>
              </w:rPr>
              <w:t>100.00%</w:t>
            </w:r>
          </w:p>
        </w:tc>
        <w:tc>
          <w:tcPr>
            <w:tcW w:w="222" w:type="dxa"/>
            <w:tcBorders>
              <w:top w:val="nil"/>
              <w:left w:val="nil"/>
              <w:bottom w:val="nil"/>
              <w:right w:val="nil"/>
            </w:tcBorders>
            <w:shd w:val="clear" w:color="auto" w:fill="auto"/>
            <w:hideMark/>
          </w:tcPr>
          <w:p w14:paraId="07E371C6" w14:textId="77777777" w:rsidR="00A527A7" w:rsidRPr="00A527A7" w:rsidRDefault="00A527A7" w:rsidP="00A527A7">
            <w:pPr>
              <w:spacing w:after="0" w:line="240" w:lineRule="auto"/>
              <w:jc w:val="center"/>
              <w:rPr>
                <w:rFonts w:ascii="SansSerif" w:eastAsia="Times New Roman" w:hAnsi="SansSerif" w:cs="Arial"/>
                <w:color w:val="000000"/>
                <w:sz w:val="24"/>
                <w:szCs w:val="24"/>
              </w:rPr>
            </w:pPr>
          </w:p>
        </w:tc>
        <w:tc>
          <w:tcPr>
            <w:tcW w:w="269" w:type="dxa"/>
            <w:tcBorders>
              <w:top w:val="nil"/>
              <w:left w:val="nil"/>
              <w:bottom w:val="nil"/>
              <w:right w:val="single" w:sz="4" w:space="0" w:color="000000"/>
            </w:tcBorders>
            <w:shd w:val="clear" w:color="auto" w:fill="auto"/>
            <w:hideMark/>
          </w:tcPr>
          <w:p w14:paraId="3B905C5F" w14:textId="77777777" w:rsidR="00A527A7" w:rsidRPr="00A527A7" w:rsidRDefault="00A527A7" w:rsidP="00A527A7">
            <w:pPr>
              <w:spacing w:after="0" w:line="240" w:lineRule="auto"/>
              <w:rPr>
                <w:rFonts w:ascii="SansSerif" w:eastAsia="Times New Roman" w:hAnsi="SansSerif" w:cs="Arial"/>
                <w:color w:val="000000"/>
                <w:sz w:val="24"/>
                <w:szCs w:val="24"/>
              </w:rPr>
            </w:pPr>
            <w:r w:rsidRPr="00A527A7">
              <w:rPr>
                <w:rFonts w:ascii="SansSerif" w:eastAsia="Times New Roman" w:hAnsi="SansSerif" w:cs="Arial"/>
                <w:color w:val="000000"/>
                <w:sz w:val="24"/>
                <w:szCs w:val="24"/>
              </w:rPr>
              <w:t> </w:t>
            </w:r>
          </w:p>
        </w:tc>
      </w:tr>
      <w:tr w:rsidR="00A527A7" w:rsidRPr="00A527A7" w14:paraId="4C9D8E3D" w14:textId="77777777" w:rsidTr="008349C2">
        <w:trPr>
          <w:trHeight w:val="193"/>
        </w:trPr>
        <w:tc>
          <w:tcPr>
            <w:tcW w:w="10143" w:type="dxa"/>
            <w:gridSpan w:val="18"/>
            <w:tcBorders>
              <w:top w:val="nil"/>
              <w:left w:val="single" w:sz="4" w:space="0" w:color="000000"/>
              <w:bottom w:val="single" w:sz="4" w:space="0" w:color="000000"/>
              <w:right w:val="single" w:sz="4" w:space="0" w:color="000000"/>
            </w:tcBorders>
            <w:shd w:val="clear" w:color="auto" w:fill="auto"/>
            <w:hideMark/>
          </w:tcPr>
          <w:p w14:paraId="74FDEDED" w14:textId="77777777" w:rsidR="00A527A7" w:rsidRPr="00A527A7" w:rsidRDefault="00A527A7" w:rsidP="00A527A7">
            <w:pPr>
              <w:spacing w:after="0" w:line="240" w:lineRule="auto"/>
              <w:rPr>
                <w:rFonts w:ascii="SansSerif" w:eastAsia="Times New Roman" w:hAnsi="SansSerif" w:cs="Arial"/>
                <w:color w:val="FFFFFF"/>
                <w:sz w:val="24"/>
                <w:szCs w:val="24"/>
              </w:rPr>
            </w:pPr>
            <w:r w:rsidRPr="00A527A7">
              <w:rPr>
                <w:rFonts w:ascii="SansSerif" w:eastAsia="Times New Roman" w:hAnsi="SansSerif" w:cs="Arial"/>
                <w:color w:val="FFFFFF"/>
                <w:sz w:val="24"/>
                <w:szCs w:val="24"/>
              </w:rPr>
              <w:t> </w:t>
            </w:r>
          </w:p>
        </w:tc>
      </w:tr>
    </w:tbl>
    <w:p w14:paraId="0AB6F363" w14:textId="2AF5BC54" w:rsidR="00301424" w:rsidRDefault="00301424" w:rsidP="002D7D58">
      <w:pPr>
        <w:spacing w:line="240" w:lineRule="auto"/>
        <w:contextualSpacing/>
        <w:rPr>
          <w:b/>
          <w:bCs/>
        </w:rPr>
      </w:pPr>
    </w:p>
    <w:p w14:paraId="210537B0" w14:textId="77777777" w:rsidR="00021D76" w:rsidRDefault="00592D78" w:rsidP="002D7D58">
      <w:pPr>
        <w:spacing w:line="240" w:lineRule="auto"/>
        <w:contextualSpacing/>
        <w:rPr>
          <w:bCs/>
        </w:rPr>
      </w:pPr>
      <w:r w:rsidRPr="003435F7">
        <w:rPr>
          <w:bCs/>
        </w:rPr>
        <w:t>T</w:t>
      </w:r>
      <w:r w:rsidR="006A457E" w:rsidRPr="003435F7">
        <w:rPr>
          <w:bCs/>
        </w:rPr>
        <w:t xml:space="preserve">he SLO data indicates that </w:t>
      </w:r>
      <w:r w:rsidR="003435F7">
        <w:rPr>
          <w:bCs/>
        </w:rPr>
        <w:t xml:space="preserve">over 51% of students failed to meet and the SLO in fall 2021—the first full semester taught exclusively online. By spring 2022, the </w:t>
      </w:r>
      <w:r w:rsidR="00021D76">
        <w:rPr>
          <w:bCs/>
        </w:rPr>
        <w:t>number</w:t>
      </w:r>
      <w:r w:rsidR="003435F7">
        <w:rPr>
          <w:bCs/>
        </w:rPr>
        <w:t xml:space="preserve"> </w:t>
      </w:r>
      <w:r w:rsidR="00021D76">
        <w:rPr>
          <w:bCs/>
        </w:rPr>
        <w:t xml:space="preserve">of students who failed to meet </w:t>
      </w:r>
      <w:r w:rsidR="003435F7">
        <w:rPr>
          <w:bCs/>
        </w:rPr>
        <w:t xml:space="preserve">dropped considerably to just over 4%. However, the </w:t>
      </w:r>
      <w:r w:rsidR="00021D76">
        <w:rPr>
          <w:bCs/>
        </w:rPr>
        <w:t>percentage of students that were N/A increased from 0% to just over 29%.</w:t>
      </w:r>
      <w:r w:rsidR="003435F7">
        <w:rPr>
          <w:bCs/>
        </w:rPr>
        <w:t xml:space="preserve"> </w:t>
      </w:r>
      <w:r w:rsidR="00021D76">
        <w:rPr>
          <w:bCs/>
        </w:rPr>
        <w:t xml:space="preserve">This indicates that students can successfully pass the course without meeting the SLO. </w:t>
      </w:r>
    </w:p>
    <w:p w14:paraId="14F81CF5" w14:textId="2511466B" w:rsidR="0093101D" w:rsidRDefault="00021D76" w:rsidP="002D7D58">
      <w:pPr>
        <w:spacing w:line="240" w:lineRule="auto"/>
        <w:contextualSpacing/>
        <w:rPr>
          <w:bCs/>
        </w:rPr>
      </w:pPr>
      <w:r>
        <w:rPr>
          <w:bCs/>
        </w:rPr>
        <w:t xml:space="preserve">In reflection, the SLO needs to be re-written and broken down into smaller, more manageable tasks, and the method of collecting the SLO data needs to be dispersed throughout the semester, not just at the end. This concept will be a new goal moving forward. </w:t>
      </w:r>
      <w:r w:rsidR="003435F7">
        <w:rPr>
          <w:bCs/>
        </w:rPr>
        <w:t xml:space="preserve"> </w:t>
      </w:r>
    </w:p>
    <w:p w14:paraId="7A5A2778" w14:textId="77777777" w:rsidR="00592D78" w:rsidRPr="008A3367" w:rsidRDefault="00592D78" w:rsidP="002D7D58">
      <w:pPr>
        <w:spacing w:line="240" w:lineRule="auto"/>
        <w:contextualSpacing/>
        <w:rPr>
          <w:bCs/>
        </w:rPr>
      </w:pPr>
    </w:p>
    <w:p w14:paraId="502E5794" w14:textId="6B57E849" w:rsidR="00801E82" w:rsidRDefault="00C83E41" w:rsidP="002D7D58">
      <w:pPr>
        <w:spacing w:line="240" w:lineRule="auto"/>
        <w:contextualSpacing/>
      </w:pPr>
      <w:r w:rsidRPr="00A242F6">
        <w:rPr>
          <w:b/>
        </w:rPr>
        <w:t xml:space="preserve">Library </w:t>
      </w:r>
      <w:r w:rsidR="00E579C8" w:rsidRPr="00A242F6">
        <w:rPr>
          <w:b/>
        </w:rPr>
        <w:t>C</w:t>
      </w:r>
      <w:r w:rsidRPr="00A242F6">
        <w:rPr>
          <w:b/>
        </w:rPr>
        <w:t>ollection</w:t>
      </w:r>
    </w:p>
    <w:p w14:paraId="7D193F1B" w14:textId="77777777" w:rsidR="00682FF2" w:rsidRDefault="00682FF2" w:rsidP="002D7D58">
      <w:pPr>
        <w:spacing w:line="240" w:lineRule="auto"/>
        <w:contextualSpacing/>
      </w:pPr>
    </w:p>
    <w:p w14:paraId="38267291" w14:textId="77777777" w:rsidR="00682FF2" w:rsidRPr="00682FF2" w:rsidRDefault="00682FF2" w:rsidP="00682FF2">
      <w:pPr>
        <w:spacing w:line="240" w:lineRule="auto"/>
        <w:contextualSpacing/>
        <w:rPr>
          <w:b/>
          <w:bCs/>
        </w:rPr>
      </w:pPr>
      <w:r w:rsidRPr="00682FF2">
        <w:rPr>
          <w:b/>
          <w:bCs/>
        </w:rPr>
        <w:t>AGE OF COLLECTION TOTAL NUMBER OF VOLUMES 18,231</w:t>
      </w:r>
    </w:p>
    <w:p w14:paraId="4046993E" w14:textId="77777777" w:rsidR="007378AE" w:rsidRDefault="007378AE" w:rsidP="0093101D">
      <w:pPr>
        <w:spacing w:line="240" w:lineRule="auto"/>
        <w:contextualSpacing/>
      </w:pPr>
    </w:p>
    <w:p w14:paraId="7F155054" w14:textId="4E061565" w:rsidR="007378AE" w:rsidRDefault="00682FF2" w:rsidP="0093101D">
      <w:pPr>
        <w:spacing w:line="240" w:lineRule="auto"/>
        <w:contextualSpacing/>
      </w:pPr>
      <w:r>
        <w:rPr>
          <w:noProof/>
        </w:rPr>
        <w:lastRenderedPageBreak/>
        <w:drawing>
          <wp:inline distT="0" distB="0" distL="0" distR="0" wp14:anchorId="5A6FAA58" wp14:editId="046C8168">
            <wp:extent cx="4362450" cy="3771900"/>
            <wp:effectExtent l="0" t="0" r="0" b="0"/>
            <wp:docPr id="1" name="Chart 1">
              <a:extLst xmlns:a="http://schemas.openxmlformats.org/drawingml/2006/main">
                <a:ext uri="{FF2B5EF4-FFF2-40B4-BE49-F238E27FC236}">
                  <a16:creationId xmlns:a16="http://schemas.microsoft.com/office/drawing/2014/main" id="{52323D8D-D6EA-58EA-2693-1D7B867737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801E82">
        <w:t xml:space="preserve"> </w:t>
      </w:r>
    </w:p>
    <w:p w14:paraId="74EDE24B" w14:textId="77777777" w:rsidR="007378AE" w:rsidRDefault="007378AE" w:rsidP="0093101D">
      <w:pPr>
        <w:spacing w:line="240" w:lineRule="auto"/>
        <w:contextualSpacing/>
      </w:pPr>
    </w:p>
    <w:p w14:paraId="1CE2969E" w14:textId="61D26134" w:rsidR="0093101D" w:rsidRPr="00FB33C7" w:rsidRDefault="00801E82" w:rsidP="0093101D">
      <w:pPr>
        <w:spacing w:line="240" w:lineRule="auto"/>
        <w:contextualSpacing/>
      </w:pPr>
      <w:r>
        <w:t>The</w:t>
      </w:r>
      <w:r w:rsidR="0030756C">
        <w:t xml:space="preserve"> print</w:t>
      </w:r>
      <w:r>
        <w:t xml:space="preserve"> collection </w:t>
      </w:r>
      <w:r w:rsidR="00925E6A">
        <w:t>is</w:t>
      </w:r>
      <w:r>
        <w:t xml:space="preserve"> </w:t>
      </w:r>
      <w:r w:rsidR="00925E6A">
        <w:t xml:space="preserve">at </w:t>
      </w:r>
      <w:r w:rsidR="008E7844">
        <w:t>45%</w:t>
      </w:r>
      <w:r>
        <w:t xml:space="preserve"> of the 40,000 volumes</w:t>
      </w:r>
      <w:r w:rsidR="0030756C">
        <w:t xml:space="preserve"> </w:t>
      </w:r>
      <w:r w:rsidR="00FD1B99">
        <w:t>recommended</w:t>
      </w:r>
      <w:r w:rsidR="0030756C">
        <w:t xml:space="preserve"> by </w:t>
      </w:r>
      <w:r>
        <w:t>Title V (§</w:t>
      </w:r>
      <w:r w:rsidR="0030756C">
        <w:t xml:space="preserve">58724). </w:t>
      </w:r>
      <w:r w:rsidR="00FB33C7">
        <w:t xml:space="preserve">The library continues to purchase current, relevant, print sources to meet students’ academic and </w:t>
      </w:r>
      <w:r w:rsidR="00933B44">
        <w:t>life-long learning</w:t>
      </w:r>
      <w:r w:rsidR="00FB33C7">
        <w:t xml:space="preserve"> needs.</w:t>
      </w:r>
      <w:r w:rsidR="008E7844">
        <w:t xml:space="preserve"> However, with the increase in online </w:t>
      </w:r>
      <w:r w:rsidR="005162D1">
        <w:t xml:space="preserve">courses, the collection would benefit from purchasing </w:t>
      </w:r>
      <w:r w:rsidR="001930B6">
        <w:t>electronic books (eBooks) as well as print books</w:t>
      </w:r>
      <w:r w:rsidR="005162D1">
        <w:t>. The cost difference between some print and electronic versions can be quite high</w:t>
      </w:r>
      <w:r w:rsidR="001930B6">
        <w:t>:</w:t>
      </w:r>
      <w:r w:rsidR="005162D1">
        <w:t xml:space="preserve"> electronic versions are more expensive depending on the publisher and how many users are allowed to view the source at a time. Collection development will need to carefully consider the cost of both versions and determine which would be</w:t>
      </w:r>
      <w:r w:rsidR="001930B6">
        <w:t xml:space="preserve"> most useful to the library community.</w:t>
      </w:r>
      <w:r w:rsidR="005162D1">
        <w:t xml:space="preserve"> </w:t>
      </w:r>
    </w:p>
    <w:p w14:paraId="3BB8FAAC" w14:textId="77777777" w:rsidR="0030756C" w:rsidRDefault="0030756C" w:rsidP="002D7D58">
      <w:pPr>
        <w:spacing w:line="240" w:lineRule="auto"/>
        <w:contextualSpacing/>
      </w:pPr>
    </w:p>
    <w:p w14:paraId="22D2A59B" w14:textId="3DD75A8C" w:rsidR="002C7D62" w:rsidRDefault="0076188F" w:rsidP="002D7D58">
      <w:pPr>
        <w:spacing w:line="240" w:lineRule="auto"/>
        <w:contextualSpacing/>
      </w:pPr>
      <w:r>
        <w:t xml:space="preserve">Circulation data </w:t>
      </w:r>
      <w:r w:rsidR="005B48D3">
        <w:t>indicates a steep decline in circulation due to the library’s in-house use due to the pandemic.</w:t>
      </w:r>
    </w:p>
    <w:p w14:paraId="2FB26030" w14:textId="77777777" w:rsidR="007B112E" w:rsidRDefault="007B112E" w:rsidP="002D7D58">
      <w:pPr>
        <w:spacing w:line="240" w:lineRule="auto"/>
        <w:contextualSpacing/>
      </w:pPr>
    </w:p>
    <w:p w14:paraId="6920D133" w14:textId="0481FF76" w:rsidR="00E25DEF" w:rsidRPr="009D001A" w:rsidRDefault="00E25DEF" w:rsidP="002D7D58">
      <w:pPr>
        <w:spacing w:line="240" w:lineRule="auto"/>
        <w:contextualSpacing/>
        <w:rPr>
          <w:b/>
          <w:bCs/>
        </w:rPr>
      </w:pPr>
      <w:r w:rsidRPr="009D001A">
        <w:rPr>
          <w:b/>
          <w:bCs/>
        </w:rPr>
        <w:t>Circulation statistics for all book formats:</w:t>
      </w:r>
    </w:p>
    <w:tbl>
      <w:tblPr>
        <w:tblStyle w:val="TableGrid"/>
        <w:tblW w:w="0" w:type="auto"/>
        <w:tblLook w:val="04A0" w:firstRow="1" w:lastRow="0" w:firstColumn="1" w:lastColumn="0" w:noHBand="0" w:noVBand="1"/>
      </w:tblPr>
      <w:tblGrid>
        <w:gridCol w:w="4675"/>
        <w:gridCol w:w="4675"/>
      </w:tblGrid>
      <w:tr w:rsidR="008B6C44" w14:paraId="0D370609" w14:textId="77777777" w:rsidTr="00E25DEF">
        <w:tc>
          <w:tcPr>
            <w:tcW w:w="4675" w:type="dxa"/>
          </w:tcPr>
          <w:p w14:paraId="563D8768" w14:textId="3D27964E" w:rsidR="008B6C44" w:rsidRDefault="008B6C44" w:rsidP="002D7D58">
            <w:pPr>
              <w:contextualSpacing/>
            </w:pPr>
            <w:r>
              <w:t>2019-2020</w:t>
            </w:r>
          </w:p>
        </w:tc>
        <w:tc>
          <w:tcPr>
            <w:tcW w:w="4675" w:type="dxa"/>
          </w:tcPr>
          <w:p w14:paraId="1180973F" w14:textId="77CAEEE9" w:rsidR="008B6C44" w:rsidRDefault="008B6C44" w:rsidP="002D7D58">
            <w:pPr>
              <w:contextualSpacing/>
            </w:pPr>
            <w:r>
              <w:t>3,782</w:t>
            </w:r>
          </w:p>
        </w:tc>
      </w:tr>
      <w:tr w:rsidR="00301424" w14:paraId="469EF604" w14:textId="77777777" w:rsidTr="00E25DEF">
        <w:tc>
          <w:tcPr>
            <w:tcW w:w="4675" w:type="dxa"/>
          </w:tcPr>
          <w:p w14:paraId="706BC6AC" w14:textId="14A450E6" w:rsidR="00301424" w:rsidRDefault="00301424" w:rsidP="002D7D58">
            <w:pPr>
              <w:contextualSpacing/>
            </w:pPr>
            <w:r>
              <w:t>2020-2021</w:t>
            </w:r>
          </w:p>
        </w:tc>
        <w:tc>
          <w:tcPr>
            <w:tcW w:w="4675" w:type="dxa"/>
          </w:tcPr>
          <w:p w14:paraId="71B1A1F4" w14:textId="35587EA9" w:rsidR="00301424" w:rsidRDefault="003F20B1" w:rsidP="002D7D58">
            <w:pPr>
              <w:contextualSpacing/>
            </w:pPr>
            <w:r>
              <w:t>1,166</w:t>
            </w:r>
          </w:p>
        </w:tc>
      </w:tr>
      <w:tr w:rsidR="00EC680D" w14:paraId="655EFA22" w14:textId="77777777" w:rsidTr="00E25DEF">
        <w:tc>
          <w:tcPr>
            <w:tcW w:w="4675" w:type="dxa"/>
          </w:tcPr>
          <w:p w14:paraId="08929AD2" w14:textId="521ECA6E" w:rsidR="00EC680D" w:rsidRDefault="00EC680D" w:rsidP="002D7D58">
            <w:pPr>
              <w:contextualSpacing/>
            </w:pPr>
            <w:r>
              <w:t>2021-2022</w:t>
            </w:r>
          </w:p>
        </w:tc>
        <w:tc>
          <w:tcPr>
            <w:tcW w:w="4675" w:type="dxa"/>
          </w:tcPr>
          <w:p w14:paraId="7B4A1D9D" w14:textId="0A4176EB" w:rsidR="00EC680D" w:rsidRDefault="00420283" w:rsidP="002D7D58">
            <w:pPr>
              <w:contextualSpacing/>
            </w:pPr>
            <w:r>
              <w:t>1,375</w:t>
            </w:r>
          </w:p>
        </w:tc>
      </w:tr>
    </w:tbl>
    <w:p w14:paraId="0030720B" w14:textId="77777777" w:rsidR="00916F48" w:rsidRDefault="00916F48" w:rsidP="002D7D58">
      <w:pPr>
        <w:spacing w:line="240" w:lineRule="auto"/>
        <w:contextualSpacing/>
      </w:pPr>
    </w:p>
    <w:p w14:paraId="17E9F544" w14:textId="078FA200" w:rsidR="009F1C21" w:rsidRPr="009F1C21" w:rsidRDefault="009F1C21" w:rsidP="002D7D58">
      <w:pPr>
        <w:spacing w:line="240" w:lineRule="auto"/>
        <w:contextualSpacing/>
        <w:rPr>
          <w:bCs/>
        </w:rPr>
      </w:pPr>
      <w:r>
        <w:rPr>
          <w:bCs/>
        </w:rPr>
        <w:t>Circulation for print materials in increasing but remains low in comparison to pre-pandemic data.</w:t>
      </w:r>
    </w:p>
    <w:p w14:paraId="2305B070" w14:textId="77777777" w:rsidR="009F1C21" w:rsidRDefault="009F1C21" w:rsidP="002D7D58">
      <w:pPr>
        <w:spacing w:line="240" w:lineRule="auto"/>
        <w:contextualSpacing/>
        <w:rPr>
          <w:b/>
        </w:rPr>
      </w:pPr>
    </w:p>
    <w:p w14:paraId="5D93BB14" w14:textId="59972EC4" w:rsidR="00CC2A09" w:rsidRPr="00B42186" w:rsidRDefault="00CC2A09" w:rsidP="002D7D58">
      <w:pPr>
        <w:spacing w:line="240" w:lineRule="auto"/>
        <w:contextualSpacing/>
        <w:rPr>
          <w:b/>
        </w:rPr>
      </w:pPr>
      <w:r w:rsidRPr="00B42186">
        <w:rPr>
          <w:b/>
        </w:rPr>
        <w:t xml:space="preserve">Reserve collection </w:t>
      </w:r>
      <w:r w:rsidR="00B42186">
        <w:rPr>
          <w:b/>
        </w:rPr>
        <w:t>circulation</w:t>
      </w:r>
    </w:p>
    <w:tbl>
      <w:tblPr>
        <w:tblStyle w:val="TableGrid"/>
        <w:tblW w:w="0" w:type="auto"/>
        <w:tblLook w:val="04A0" w:firstRow="1" w:lastRow="0" w:firstColumn="1" w:lastColumn="0" w:noHBand="0" w:noVBand="1"/>
      </w:tblPr>
      <w:tblGrid>
        <w:gridCol w:w="4675"/>
        <w:gridCol w:w="4675"/>
      </w:tblGrid>
      <w:tr w:rsidR="008B6C44" w14:paraId="48962B1B" w14:textId="77777777" w:rsidTr="00CC2A09">
        <w:tc>
          <w:tcPr>
            <w:tcW w:w="4675" w:type="dxa"/>
          </w:tcPr>
          <w:p w14:paraId="216D2FCA" w14:textId="2878C72A" w:rsidR="008B6C44" w:rsidRDefault="008B6C44" w:rsidP="002D7D58">
            <w:pPr>
              <w:contextualSpacing/>
            </w:pPr>
            <w:r>
              <w:t>2019-2020</w:t>
            </w:r>
          </w:p>
        </w:tc>
        <w:tc>
          <w:tcPr>
            <w:tcW w:w="4675" w:type="dxa"/>
          </w:tcPr>
          <w:p w14:paraId="74CF1CF0" w14:textId="61A382E1" w:rsidR="008B6C44" w:rsidRDefault="008B6C44" w:rsidP="002D7D58">
            <w:pPr>
              <w:contextualSpacing/>
            </w:pPr>
            <w:r>
              <w:t>1,208</w:t>
            </w:r>
          </w:p>
        </w:tc>
      </w:tr>
      <w:tr w:rsidR="005B48D3" w14:paraId="097AA5D2" w14:textId="77777777" w:rsidTr="00CC2A09">
        <w:tc>
          <w:tcPr>
            <w:tcW w:w="4675" w:type="dxa"/>
          </w:tcPr>
          <w:p w14:paraId="1E7A1821" w14:textId="7E2AB41F" w:rsidR="005B48D3" w:rsidRDefault="005B48D3" w:rsidP="002D7D58">
            <w:pPr>
              <w:contextualSpacing/>
            </w:pPr>
            <w:r>
              <w:t>2020-2021</w:t>
            </w:r>
          </w:p>
        </w:tc>
        <w:tc>
          <w:tcPr>
            <w:tcW w:w="4675" w:type="dxa"/>
          </w:tcPr>
          <w:p w14:paraId="4CFC634F" w14:textId="474D014C" w:rsidR="005B48D3" w:rsidRDefault="005B48D3" w:rsidP="002D7D58">
            <w:pPr>
              <w:contextualSpacing/>
            </w:pPr>
            <w:r>
              <w:t>0</w:t>
            </w:r>
          </w:p>
        </w:tc>
      </w:tr>
      <w:tr w:rsidR="00404163" w14:paraId="57DD6495" w14:textId="77777777" w:rsidTr="00CC2A09">
        <w:tc>
          <w:tcPr>
            <w:tcW w:w="4675" w:type="dxa"/>
          </w:tcPr>
          <w:p w14:paraId="5ADB1B7B" w14:textId="33784904" w:rsidR="00404163" w:rsidRDefault="00404163" w:rsidP="002D7D58">
            <w:pPr>
              <w:contextualSpacing/>
            </w:pPr>
            <w:r>
              <w:t>2021-2022</w:t>
            </w:r>
          </w:p>
        </w:tc>
        <w:tc>
          <w:tcPr>
            <w:tcW w:w="4675" w:type="dxa"/>
          </w:tcPr>
          <w:p w14:paraId="22BA15A7" w14:textId="37340793" w:rsidR="00404163" w:rsidRDefault="00404163" w:rsidP="002D7D58">
            <w:pPr>
              <w:contextualSpacing/>
            </w:pPr>
            <w:r>
              <w:t>116</w:t>
            </w:r>
          </w:p>
        </w:tc>
      </w:tr>
    </w:tbl>
    <w:p w14:paraId="2C53D705" w14:textId="492666BA" w:rsidR="00CC2A09" w:rsidRDefault="00CC2A09" w:rsidP="002D7D58">
      <w:pPr>
        <w:spacing w:line="240" w:lineRule="auto"/>
        <w:contextualSpacing/>
      </w:pPr>
    </w:p>
    <w:p w14:paraId="2AAB479D" w14:textId="1D59A96F" w:rsidR="009F1C21" w:rsidRPr="009F1C21" w:rsidRDefault="009F1C21" w:rsidP="002D7D58">
      <w:pPr>
        <w:spacing w:line="240" w:lineRule="auto"/>
        <w:contextualSpacing/>
        <w:rPr>
          <w:bCs/>
        </w:rPr>
      </w:pPr>
      <w:r>
        <w:rPr>
          <w:bCs/>
        </w:rPr>
        <w:lastRenderedPageBreak/>
        <w:t>During AY 2020-2021, Taft College issued textbook vouchers to all students; therefore, there was no reason for students to use reserve textbooks. In AY 221-2022, students returned to campus and the need increased. It remains significantly lower than pre-pandemic years, and likely will not increase as ZTC and OER books are more popular options for faculty and students.</w:t>
      </w:r>
    </w:p>
    <w:p w14:paraId="47DEE0D4" w14:textId="77777777" w:rsidR="009F1C21" w:rsidRDefault="009F1C21" w:rsidP="002D7D58">
      <w:pPr>
        <w:spacing w:line="240" w:lineRule="auto"/>
        <w:contextualSpacing/>
        <w:rPr>
          <w:b/>
        </w:rPr>
      </w:pPr>
    </w:p>
    <w:p w14:paraId="276CA72C" w14:textId="07E71A0C" w:rsidR="00CC2A09" w:rsidRPr="00B42186" w:rsidRDefault="00CC2A09" w:rsidP="002D7D58">
      <w:pPr>
        <w:spacing w:line="240" w:lineRule="auto"/>
        <w:contextualSpacing/>
        <w:rPr>
          <w:b/>
        </w:rPr>
      </w:pPr>
      <w:r w:rsidRPr="00B42186">
        <w:rPr>
          <w:b/>
        </w:rPr>
        <w:t>Inter</w:t>
      </w:r>
      <w:r w:rsidR="00B42186" w:rsidRPr="00B42186">
        <w:rPr>
          <w:b/>
        </w:rPr>
        <w:t>-library loan</w:t>
      </w:r>
    </w:p>
    <w:tbl>
      <w:tblPr>
        <w:tblStyle w:val="TableGrid"/>
        <w:tblW w:w="0" w:type="auto"/>
        <w:tblLook w:val="04A0" w:firstRow="1" w:lastRow="0" w:firstColumn="1" w:lastColumn="0" w:noHBand="0" w:noVBand="1"/>
      </w:tblPr>
      <w:tblGrid>
        <w:gridCol w:w="3068"/>
        <w:gridCol w:w="3301"/>
        <w:gridCol w:w="2981"/>
      </w:tblGrid>
      <w:tr w:rsidR="00544AA0" w14:paraId="05E81C5F" w14:textId="77777777" w:rsidTr="00544AA0">
        <w:tc>
          <w:tcPr>
            <w:tcW w:w="3068" w:type="dxa"/>
          </w:tcPr>
          <w:p w14:paraId="0E56085F" w14:textId="77777777" w:rsidR="00544AA0" w:rsidRDefault="00544AA0" w:rsidP="002D7D58">
            <w:pPr>
              <w:contextualSpacing/>
            </w:pPr>
            <w:r>
              <w:t>AY</w:t>
            </w:r>
          </w:p>
        </w:tc>
        <w:tc>
          <w:tcPr>
            <w:tcW w:w="3301" w:type="dxa"/>
          </w:tcPr>
          <w:p w14:paraId="158BDFA2" w14:textId="77777777" w:rsidR="00544AA0" w:rsidRDefault="00544AA0" w:rsidP="002D7D58">
            <w:pPr>
              <w:contextualSpacing/>
            </w:pPr>
            <w:r>
              <w:t>Borrower</w:t>
            </w:r>
          </w:p>
        </w:tc>
        <w:tc>
          <w:tcPr>
            <w:tcW w:w="2981" w:type="dxa"/>
          </w:tcPr>
          <w:p w14:paraId="320F0964" w14:textId="77777777" w:rsidR="00544AA0" w:rsidRDefault="00544AA0" w:rsidP="002D7D58">
            <w:pPr>
              <w:contextualSpacing/>
            </w:pPr>
            <w:r>
              <w:t>Lender</w:t>
            </w:r>
          </w:p>
        </w:tc>
      </w:tr>
      <w:tr w:rsidR="008B6C44" w14:paraId="6A949C34" w14:textId="77777777" w:rsidTr="00544AA0">
        <w:tc>
          <w:tcPr>
            <w:tcW w:w="3068" w:type="dxa"/>
          </w:tcPr>
          <w:p w14:paraId="231347CC" w14:textId="79371A2B" w:rsidR="008B6C44" w:rsidRDefault="008B6C44" w:rsidP="002D7D58">
            <w:pPr>
              <w:contextualSpacing/>
            </w:pPr>
            <w:r>
              <w:t>2019-2020</w:t>
            </w:r>
          </w:p>
        </w:tc>
        <w:tc>
          <w:tcPr>
            <w:tcW w:w="3301" w:type="dxa"/>
          </w:tcPr>
          <w:p w14:paraId="35B62830" w14:textId="15A2D9F4" w:rsidR="008B6C44" w:rsidRDefault="008B6C44" w:rsidP="002D7D58">
            <w:pPr>
              <w:contextualSpacing/>
            </w:pPr>
            <w:r>
              <w:t>13</w:t>
            </w:r>
          </w:p>
        </w:tc>
        <w:tc>
          <w:tcPr>
            <w:tcW w:w="2981" w:type="dxa"/>
          </w:tcPr>
          <w:p w14:paraId="2830936E" w14:textId="340AD8FC" w:rsidR="008B6C44" w:rsidRDefault="008B6C44" w:rsidP="002D7D58">
            <w:pPr>
              <w:contextualSpacing/>
            </w:pPr>
            <w:r>
              <w:t>12</w:t>
            </w:r>
          </w:p>
        </w:tc>
      </w:tr>
      <w:tr w:rsidR="00FD1076" w14:paraId="4DEAF538" w14:textId="77777777" w:rsidTr="00544AA0">
        <w:tc>
          <w:tcPr>
            <w:tcW w:w="3068" w:type="dxa"/>
          </w:tcPr>
          <w:p w14:paraId="4C5A6918" w14:textId="3B8B1496" w:rsidR="00FD1076" w:rsidRDefault="00FD1076" w:rsidP="002D7D58">
            <w:pPr>
              <w:contextualSpacing/>
            </w:pPr>
            <w:r>
              <w:t>2020-2021</w:t>
            </w:r>
          </w:p>
        </w:tc>
        <w:tc>
          <w:tcPr>
            <w:tcW w:w="3301" w:type="dxa"/>
          </w:tcPr>
          <w:p w14:paraId="437EA3D9" w14:textId="61A19DA6" w:rsidR="00FD1076" w:rsidRDefault="00FD1076" w:rsidP="002D7D58">
            <w:pPr>
              <w:contextualSpacing/>
            </w:pPr>
            <w:r>
              <w:t>0</w:t>
            </w:r>
          </w:p>
        </w:tc>
        <w:tc>
          <w:tcPr>
            <w:tcW w:w="2981" w:type="dxa"/>
          </w:tcPr>
          <w:p w14:paraId="6C608569" w14:textId="1029DD5F" w:rsidR="00FD1076" w:rsidRDefault="00FD1076" w:rsidP="002D7D58">
            <w:pPr>
              <w:contextualSpacing/>
            </w:pPr>
            <w:r>
              <w:t>0</w:t>
            </w:r>
          </w:p>
        </w:tc>
      </w:tr>
      <w:tr w:rsidR="009F1C21" w14:paraId="39ED90EC" w14:textId="77777777" w:rsidTr="00544AA0">
        <w:tc>
          <w:tcPr>
            <w:tcW w:w="3068" w:type="dxa"/>
          </w:tcPr>
          <w:p w14:paraId="5525C4DC" w14:textId="2DAA04EB" w:rsidR="009F1C21" w:rsidRDefault="009F1C21" w:rsidP="002D7D58">
            <w:pPr>
              <w:contextualSpacing/>
            </w:pPr>
            <w:r>
              <w:t>2021-2022</w:t>
            </w:r>
          </w:p>
        </w:tc>
        <w:tc>
          <w:tcPr>
            <w:tcW w:w="3301" w:type="dxa"/>
          </w:tcPr>
          <w:p w14:paraId="24FE1174" w14:textId="0BA7374E" w:rsidR="009F1C21" w:rsidRDefault="008349C2" w:rsidP="002D7D58">
            <w:pPr>
              <w:contextualSpacing/>
            </w:pPr>
            <w:r>
              <w:t>11</w:t>
            </w:r>
          </w:p>
        </w:tc>
        <w:tc>
          <w:tcPr>
            <w:tcW w:w="2981" w:type="dxa"/>
          </w:tcPr>
          <w:p w14:paraId="41F04756" w14:textId="39BD6DA0" w:rsidR="009F1C21" w:rsidRDefault="008349C2" w:rsidP="002D7D58">
            <w:pPr>
              <w:contextualSpacing/>
            </w:pPr>
            <w:r>
              <w:t>11</w:t>
            </w:r>
          </w:p>
        </w:tc>
      </w:tr>
    </w:tbl>
    <w:p w14:paraId="3A88FD88" w14:textId="39DC8C7F" w:rsidR="00315392" w:rsidRDefault="00315392" w:rsidP="002D7D58">
      <w:pPr>
        <w:spacing w:line="240" w:lineRule="auto"/>
        <w:contextualSpacing/>
      </w:pPr>
    </w:p>
    <w:p w14:paraId="5D06B608" w14:textId="78B29E2E" w:rsidR="005B48D3" w:rsidRDefault="008349C2" w:rsidP="002D7D58">
      <w:pPr>
        <w:spacing w:line="240" w:lineRule="auto"/>
        <w:contextualSpacing/>
      </w:pPr>
      <w:r>
        <w:t xml:space="preserve">Inter-library loan transactions recovered from the pandemic era. Most items are requested by faculty. The cost of providing ILL is extremely expensive, $2,000 annually. California community college libraries are working on creating an inter-library loan program for electronic resources that would reduce the cost considerably. However, the cost to loan or borrow print books remains unreasonably high. The cost to purchase the requested books, regardless of who requests </w:t>
      </w:r>
      <w:r w:rsidR="0029439A">
        <w:t>them</w:t>
      </w:r>
      <w:r>
        <w:t xml:space="preserve">, would be less than paying for this service. As costs </w:t>
      </w:r>
      <w:r w:rsidR="00481974">
        <w:t>for</w:t>
      </w:r>
      <w:r>
        <w:t xml:space="preserve"> databases and other library materials </w:t>
      </w:r>
      <w:r w:rsidR="0029439A">
        <w:t>increase</w:t>
      </w:r>
      <w:r>
        <w:t xml:space="preserve">, the available funds to cover this expense </w:t>
      </w:r>
      <w:r w:rsidR="00481974">
        <w:t>decrease. Eliminating ILL in its current capacity is strongly recommended.</w:t>
      </w:r>
    </w:p>
    <w:p w14:paraId="00E7F62B" w14:textId="77777777" w:rsidR="005B48D3" w:rsidRDefault="005B48D3" w:rsidP="002D7D58">
      <w:pPr>
        <w:spacing w:line="240" w:lineRule="auto"/>
        <w:contextualSpacing/>
        <w:rPr>
          <w:b/>
          <w:bCs/>
        </w:rPr>
      </w:pPr>
    </w:p>
    <w:p w14:paraId="0957C613" w14:textId="3D33A259" w:rsidR="00A86454" w:rsidRPr="00A86454" w:rsidRDefault="00A86454" w:rsidP="002D7D58">
      <w:pPr>
        <w:spacing w:line="240" w:lineRule="auto"/>
        <w:contextualSpacing/>
        <w:rPr>
          <w:b/>
          <w:bCs/>
        </w:rPr>
      </w:pPr>
      <w:r w:rsidRPr="00A86454">
        <w:rPr>
          <w:b/>
          <w:bCs/>
        </w:rPr>
        <w:t xml:space="preserve">Library </w:t>
      </w:r>
      <w:r w:rsidR="00E678FA">
        <w:rPr>
          <w:b/>
          <w:bCs/>
        </w:rPr>
        <w:t>Environment</w:t>
      </w:r>
    </w:p>
    <w:p w14:paraId="1ADE35B5" w14:textId="77777777" w:rsidR="00A86454" w:rsidRDefault="00A86454" w:rsidP="002D7D58">
      <w:pPr>
        <w:spacing w:line="240" w:lineRule="auto"/>
        <w:contextualSpacing/>
      </w:pPr>
    </w:p>
    <w:p w14:paraId="1990EAC6" w14:textId="3A61605A" w:rsidR="00E678FA" w:rsidRDefault="009F1C21" w:rsidP="002D7D58">
      <w:pPr>
        <w:spacing w:line="240" w:lineRule="auto"/>
        <w:contextualSpacing/>
      </w:pPr>
      <w:r>
        <w:t>The library opened to students and faculty in fall 2021. The gate count shows usage from pre-pandemic to post-pandemic:</w:t>
      </w:r>
    </w:p>
    <w:p w14:paraId="44BA22E7" w14:textId="77777777" w:rsidR="009F1C21" w:rsidRDefault="009F1C21" w:rsidP="002D7D58">
      <w:pPr>
        <w:spacing w:line="240" w:lineRule="auto"/>
        <w:contextualSpacing/>
      </w:pPr>
    </w:p>
    <w:tbl>
      <w:tblPr>
        <w:tblStyle w:val="TableGrid"/>
        <w:tblW w:w="0" w:type="auto"/>
        <w:tblLook w:val="04A0" w:firstRow="1" w:lastRow="0" w:firstColumn="1" w:lastColumn="0" w:noHBand="0" w:noVBand="1"/>
      </w:tblPr>
      <w:tblGrid>
        <w:gridCol w:w="4675"/>
        <w:gridCol w:w="4675"/>
      </w:tblGrid>
      <w:tr w:rsidR="009F1C21" w14:paraId="45670271" w14:textId="77777777" w:rsidTr="009F1C21">
        <w:tc>
          <w:tcPr>
            <w:tcW w:w="4675" w:type="dxa"/>
          </w:tcPr>
          <w:p w14:paraId="0F29BA2B" w14:textId="6A80E5AF" w:rsidR="009F1C21" w:rsidRDefault="009F1C21" w:rsidP="002D7D58">
            <w:pPr>
              <w:contextualSpacing/>
            </w:pPr>
            <w:r>
              <w:t>AY</w:t>
            </w:r>
          </w:p>
        </w:tc>
        <w:tc>
          <w:tcPr>
            <w:tcW w:w="4675" w:type="dxa"/>
          </w:tcPr>
          <w:p w14:paraId="4ED7BC7E" w14:textId="5F66142B" w:rsidR="009F1C21" w:rsidRDefault="009F1C21" w:rsidP="002D7D58">
            <w:pPr>
              <w:contextualSpacing/>
            </w:pPr>
            <w:r>
              <w:t>Annual headcount</w:t>
            </w:r>
          </w:p>
        </w:tc>
      </w:tr>
      <w:tr w:rsidR="009F1C21" w14:paraId="45FE673D" w14:textId="77777777" w:rsidTr="009F1C21">
        <w:tc>
          <w:tcPr>
            <w:tcW w:w="4675" w:type="dxa"/>
          </w:tcPr>
          <w:p w14:paraId="2407DD6E" w14:textId="1A286E66" w:rsidR="009F1C21" w:rsidRDefault="009F1C21" w:rsidP="002D7D58">
            <w:pPr>
              <w:contextualSpacing/>
            </w:pPr>
            <w:r>
              <w:t>2019-2020</w:t>
            </w:r>
          </w:p>
        </w:tc>
        <w:tc>
          <w:tcPr>
            <w:tcW w:w="4675" w:type="dxa"/>
          </w:tcPr>
          <w:p w14:paraId="5CC67EE1" w14:textId="7C70DAFD" w:rsidR="009F1C21" w:rsidRDefault="009F1C21" w:rsidP="002D7D58">
            <w:pPr>
              <w:contextualSpacing/>
            </w:pPr>
            <w:r>
              <w:t>91,429</w:t>
            </w:r>
          </w:p>
        </w:tc>
      </w:tr>
      <w:tr w:rsidR="009F1C21" w14:paraId="38DA0BDF" w14:textId="77777777" w:rsidTr="009F1C21">
        <w:tc>
          <w:tcPr>
            <w:tcW w:w="4675" w:type="dxa"/>
          </w:tcPr>
          <w:p w14:paraId="4BCB5F68" w14:textId="693A6252" w:rsidR="009F1C21" w:rsidRDefault="009F1C21" w:rsidP="002D7D58">
            <w:pPr>
              <w:contextualSpacing/>
            </w:pPr>
            <w:r>
              <w:t>2020-2021</w:t>
            </w:r>
          </w:p>
        </w:tc>
        <w:tc>
          <w:tcPr>
            <w:tcW w:w="4675" w:type="dxa"/>
          </w:tcPr>
          <w:p w14:paraId="5418073A" w14:textId="1A9BEB29" w:rsidR="009F1C21" w:rsidRDefault="009F1C21" w:rsidP="002D7D58">
            <w:pPr>
              <w:contextualSpacing/>
            </w:pPr>
            <w:r>
              <w:t>10,866</w:t>
            </w:r>
          </w:p>
        </w:tc>
      </w:tr>
      <w:tr w:rsidR="009F1C21" w14:paraId="14A6B5FC" w14:textId="77777777" w:rsidTr="009F1C21">
        <w:tc>
          <w:tcPr>
            <w:tcW w:w="4675" w:type="dxa"/>
          </w:tcPr>
          <w:p w14:paraId="20062EA6" w14:textId="65443823" w:rsidR="009F1C21" w:rsidRDefault="009F1C21" w:rsidP="002D7D58">
            <w:pPr>
              <w:contextualSpacing/>
            </w:pPr>
            <w:r>
              <w:t>2021-2022</w:t>
            </w:r>
          </w:p>
        </w:tc>
        <w:tc>
          <w:tcPr>
            <w:tcW w:w="4675" w:type="dxa"/>
          </w:tcPr>
          <w:p w14:paraId="28385878" w14:textId="1CA3FE20" w:rsidR="009F1C21" w:rsidRDefault="009F1C21" w:rsidP="002D7D58">
            <w:pPr>
              <w:contextualSpacing/>
            </w:pPr>
            <w:r>
              <w:t>32,111</w:t>
            </w:r>
          </w:p>
        </w:tc>
      </w:tr>
    </w:tbl>
    <w:p w14:paraId="06ED587E" w14:textId="77777777" w:rsidR="009F1C21" w:rsidRDefault="009F1C21" w:rsidP="002D7D58">
      <w:pPr>
        <w:spacing w:line="240" w:lineRule="auto"/>
        <w:contextualSpacing/>
      </w:pPr>
    </w:p>
    <w:p w14:paraId="35F73C67" w14:textId="699F8722" w:rsidR="005B48D3" w:rsidRDefault="00701A9F" w:rsidP="002D7D58">
      <w:pPr>
        <w:spacing w:line="240" w:lineRule="auto"/>
        <w:contextualSpacing/>
      </w:pPr>
      <w:r>
        <w:t>Library usage is increasing, but low enrollment and more online class offerings impacts how many students are on campus.</w:t>
      </w:r>
      <w:r w:rsidR="008E3DC0">
        <w:t xml:space="preserve"> The Student Center has reduced traffic flow in the library, especially during the lunch hour. </w:t>
      </w:r>
      <w:r>
        <w:t xml:space="preserve">In addition, the new Student Center is open later in the evenings, has comfortable seating, and allows students to eat and visit without disrupting students who prefer to study in a quieter setting. </w:t>
      </w:r>
    </w:p>
    <w:p w14:paraId="44F0CE31" w14:textId="77777777" w:rsidR="00701A9F" w:rsidRDefault="00701A9F" w:rsidP="002D7D58">
      <w:pPr>
        <w:spacing w:line="240" w:lineRule="auto"/>
        <w:contextualSpacing/>
      </w:pPr>
    </w:p>
    <w:p w14:paraId="3C69A925" w14:textId="3A1CD8D8" w:rsidR="00B53391" w:rsidRDefault="004F56C5" w:rsidP="002D7D58">
      <w:pPr>
        <w:spacing w:line="240" w:lineRule="auto"/>
        <w:contextualSpacing/>
        <w:rPr>
          <w:b/>
          <w:bCs/>
        </w:rPr>
      </w:pPr>
      <w:r w:rsidRPr="004F56C5">
        <w:rPr>
          <w:b/>
          <w:bCs/>
        </w:rPr>
        <w:t>Technology</w:t>
      </w:r>
      <w:r w:rsidR="00B53391">
        <w:rPr>
          <w:b/>
          <w:bCs/>
        </w:rPr>
        <w:t>: Equipment</w:t>
      </w:r>
    </w:p>
    <w:p w14:paraId="1A1F316E" w14:textId="39B8068D" w:rsidR="004F56C5" w:rsidRDefault="004F56C5" w:rsidP="002D7D58">
      <w:pPr>
        <w:spacing w:line="240" w:lineRule="auto"/>
        <w:contextualSpacing/>
        <w:rPr>
          <w:b/>
          <w:bCs/>
        </w:rPr>
      </w:pPr>
    </w:p>
    <w:p w14:paraId="7942CD8C" w14:textId="5DEAEB30" w:rsidR="00843646" w:rsidRDefault="00C46F79" w:rsidP="002D7D58">
      <w:pPr>
        <w:spacing w:line="240" w:lineRule="auto"/>
        <w:contextualSpacing/>
      </w:pPr>
      <w:r>
        <w:t xml:space="preserve">The library </w:t>
      </w:r>
      <w:r w:rsidR="00CD2E26">
        <w:t xml:space="preserve">continues to check out laptops, hot spots, calculators, and smart pens for students. </w:t>
      </w:r>
      <w:r w:rsidR="00843646">
        <w:t xml:space="preserve">The current inventory for technology </w:t>
      </w:r>
      <w:r w:rsidR="00BA549C">
        <w:t xml:space="preserve">devices </w:t>
      </w:r>
      <w:r w:rsidR="00843646">
        <w:t>shows an increase in the number of laptops and calculators purchased during the pandemic</w:t>
      </w:r>
      <w:r w:rsidR="00594C47">
        <w:t xml:space="preserve"> using funding from various sources</w:t>
      </w:r>
      <w:r w:rsidR="00843646">
        <w:t>:</w:t>
      </w:r>
    </w:p>
    <w:p w14:paraId="7A4D48CD" w14:textId="77777777" w:rsidR="00843646" w:rsidRDefault="00843646" w:rsidP="002D7D58">
      <w:pPr>
        <w:spacing w:line="240" w:lineRule="auto"/>
        <w:contextualSpacing/>
      </w:pPr>
    </w:p>
    <w:tbl>
      <w:tblPr>
        <w:tblStyle w:val="TableGrid"/>
        <w:tblW w:w="0" w:type="auto"/>
        <w:tblLook w:val="04A0" w:firstRow="1" w:lastRow="0" w:firstColumn="1" w:lastColumn="0" w:noHBand="0" w:noVBand="1"/>
      </w:tblPr>
      <w:tblGrid>
        <w:gridCol w:w="4675"/>
        <w:gridCol w:w="4675"/>
      </w:tblGrid>
      <w:tr w:rsidR="00843646" w14:paraId="5D02F584" w14:textId="77777777" w:rsidTr="00843646">
        <w:tc>
          <w:tcPr>
            <w:tcW w:w="4675" w:type="dxa"/>
          </w:tcPr>
          <w:p w14:paraId="65C648F5" w14:textId="2F69FE81" w:rsidR="00843646" w:rsidRDefault="00843646" w:rsidP="002D7D58">
            <w:pPr>
              <w:contextualSpacing/>
            </w:pPr>
            <w:r>
              <w:t>Laptops</w:t>
            </w:r>
          </w:p>
        </w:tc>
        <w:tc>
          <w:tcPr>
            <w:tcW w:w="4675" w:type="dxa"/>
          </w:tcPr>
          <w:p w14:paraId="02E9C3A3" w14:textId="5C7415B6" w:rsidR="00843646" w:rsidRDefault="00843646" w:rsidP="002D7D58">
            <w:pPr>
              <w:contextualSpacing/>
            </w:pPr>
            <w:r>
              <w:t>288</w:t>
            </w:r>
          </w:p>
        </w:tc>
      </w:tr>
      <w:tr w:rsidR="00843646" w14:paraId="0F6EBC7A" w14:textId="77777777" w:rsidTr="00843646">
        <w:tc>
          <w:tcPr>
            <w:tcW w:w="4675" w:type="dxa"/>
          </w:tcPr>
          <w:p w14:paraId="5591B6B9" w14:textId="3DD38B55" w:rsidR="00843646" w:rsidRDefault="00843646" w:rsidP="002D7D58">
            <w:pPr>
              <w:contextualSpacing/>
            </w:pPr>
            <w:r>
              <w:t>Hot spots</w:t>
            </w:r>
          </w:p>
        </w:tc>
        <w:tc>
          <w:tcPr>
            <w:tcW w:w="4675" w:type="dxa"/>
          </w:tcPr>
          <w:p w14:paraId="521BCC05" w14:textId="442A129A" w:rsidR="00843646" w:rsidRDefault="00594C47" w:rsidP="002D7D58">
            <w:pPr>
              <w:contextualSpacing/>
            </w:pPr>
            <w:r>
              <w:t>250</w:t>
            </w:r>
          </w:p>
        </w:tc>
      </w:tr>
      <w:tr w:rsidR="00843646" w14:paraId="66DA8A55" w14:textId="77777777" w:rsidTr="00843646">
        <w:tc>
          <w:tcPr>
            <w:tcW w:w="4675" w:type="dxa"/>
          </w:tcPr>
          <w:p w14:paraId="264153F0" w14:textId="02D3654A" w:rsidR="00843646" w:rsidRDefault="00594C47" w:rsidP="002D7D58">
            <w:pPr>
              <w:contextualSpacing/>
            </w:pPr>
            <w:r>
              <w:t xml:space="preserve">TI 30 </w:t>
            </w:r>
            <w:r w:rsidR="00843646">
              <w:t>Calculators</w:t>
            </w:r>
            <w:r>
              <w:t xml:space="preserve"> </w:t>
            </w:r>
          </w:p>
        </w:tc>
        <w:tc>
          <w:tcPr>
            <w:tcW w:w="4675" w:type="dxa"/>
          </w:tcPr>
          <w:p w14:paraId="333DD9D5" w14:textId="1B64D61E" w:rsidR="00843646" w:rsidRDefault="00594C47" w:rsidP="002D7D58">
            <w:pPr>
              <w:contextualSpacing/>
            </w:pPr>
            <w:r>
              <w:t>293</w:t>
            </w:r>
          </w:p>
        </w:tc>
      </w:tr>
      <w:tr w:rsidR="00843646" w14:paraId="21E393B6" w14:textId="77777777" w:rsidTr="00843646">
        <w:tc>
          <w:tcPr>
            <w:tcW w:w="4675" w:type="dxa"/>
          </w:tcPr>
          <w:p w14:paraId="68F9C36E" w14:textId="3F354955" w:rsidR="00843646" w:rsidRDefault="00594C47" w:rsidP="002D7D58">
            <w:pPr>
              <w:contextualSpacing/>
            </w:pPr>
            <w:r>
              <w:t xml:space="preserve">TI 84 </w:t>
            </w:r>
            <w:r w:rsidR="00843646">
              <w:t>Calculators</w:t>
            </w:r>
          </w:p>
        </w:tc>
        <w:tc>
          <w:tcPr>
            <w:tcW w:w="4675" w:type="dxa"/>
          </w:tcPr>
          <w:p w14:paraId="50CB4A05" w14:textId="346FC6CC" w:rsidR="00843646" w:rsidRDefault="00594C47" w:rsidP="002D7D58">
            <w:pPr>
              <w:contextualSpacing/>
            </w:pPr>
            <w:r>
              <w:t>145</w:t>
            </w:r>
          </w:p>
        </w:tc>
      </w:tr>
    </w:tbl>
    <w:p w14:paraId="2CBF4C00" w14:textId="1EE4BBCC" w:rsidR="000829BF" w:rsidRDefault="000829BF" w:rsidP="002D7D58">
      <w:pPr>
        <w:spacing w:line="240" w:lineRule="auto"/>
        <w:contextualSpacing/>
      </w:pPr>
    </w:p>
    <w:p w14:paraId="63D33F06" w14:textId="77777777" w:rsidR="000829BF" w:rsidRDefault="000829BF" w:rsidP="002D7D58">
      <w:pPr>
        <w:spacing w:line="240" w:lineRule="auto"/>
        <w:contextualSpacing/>
      </w:pPr>
    </w:p>
    <w:p w14:paraId="52C9ECFC" w14:textId="00BF43B5" w:rsidR="00806EB9" w:rsidRDefault="00594C47" w:rsidP="002D7D58">
      <w:pPr>
        <w:spacing w:line="240" w:lineRule="auto"/>
        <w:contextualSpacing/>
      </w:pPr>
      <w:r>
        <w:lastRenderedPageBreak/>
        <w:t>All library desktop computers were replaced with All-in-One units. The cost of leasing the library’s printers/copiers continues to exceed the generated revenue. The library would benefit from having one of the black/white units relocated to another department. Another solution would be to have the cost included in the library’s</w:t>
      </w:r>
      <w:r w:rsidR="00040B4B">
        <w:t xml:space="preserve"> annual general</w:t>
      </w:r>
      <w:r>
        <w:t xml:space="preserve"> </w:t>
      </w:r>
      <w:r w:rsidR="00AC79F5">
        <w:t xml:space="preserve">budget </w:t>
      </w:r>
      <w:r w:rsidR="00040B4B">
        <w:t xml:space="preserve">line item </w:t>
      </w:r>
      <w:r w:rsidR="0018054A">
        <w:t>so</w:t>
      </w:r>
      <w:r w:rsidR="00942A45">
        <w:t xml:space="preserve"> that it does not negatively </w:t>
      </w:r>
      <w:r w:rsidR="00BA549C">
        <w:t>impact on</w:t>
      </w:r>
      <w:r w:rsidR="00942A45">
        <w:t xml:space="preserve"> the </w:t>
      </w:r>
      <w:r w:rsidR="0018054A">
        <w:t>library’s operation expenses</w:t>
      </w:r>
      <w:r w:rsidR="00942A45">
        <w:t>.</w:t>
      </w:r>
      <w:r w:rsidR="00BA549C">
        <w:t xml:space="preserve"> The library is awaiting replacement of the remaining desktop computers in the library commons. </w:t>
      </w:r>
    </w:p>
    <w:p w14:paraId="688F708B" w14:textId="61DD7902" w:rsidR="00237300" w:rsidRDefault="00237300" w:rsidP="002D7D58">
      <w:pPr>
        <w:spacing w:line="240" w:lineRule="auto"/>
        <w:contextualSpacing/>
      </w:pPr>
    </w:p>
    <w:p w14:paraId="470BF0E8" w14:textId="77777777" w:rsidR="00B53391" w:rsidRPr="00B53391" w:rsidRDefault="00B53391" w:rsidP="00074AE3">
      <w:pPr>
        <w:spacing w:line="240" w:lineRule="auto"/>
        <w:contextualSpacing/>
        <w:rPr>
          <w:b/>
          <w:bCs/>
        </w:rPr>
      </w:pPr>
      <w:r w:rsidRPr="00B53391">
        <w:rPr>
          <w:b/>
          <w:bCs/>
        </w:rPr>
        <w:t>Technology: Software</w:t>
      </w:r>
    </w:p>
    <w:p w14:paraId="3524EFA6" w14:textId="77777777" w:rsidR="00B53391" w:rsidRDefault="00B53391" w:rsidP="00074AE3">
      <w:pPr>
        <w:spacing w:line="240" w:lineRule="auto"/>
        <w:contextualSpacing/>
      </w:pPr>
    </w:p>
    <w:p w14:paraId="6024DA48" w14:textId="518AD9DF" w:rsidR="00241C13" w:rsidRDefault="00BA549C" w:rsidP="00DE19F6">
      <w:pPr>
        <w:spacing w:line="240" w:lineRule="auto"/>
        <w:contextualSpacing/>
      </w:pPr>
      <w:r>
        <w:t>O</w:t>
      </w:r>
      <w:r w:rsidR="00DE19F6">
        <w:t>ur contract with</w:t>
      </w:r>
      <w:r w:rsidR="00000A67">
        <w:t xml:space="preserve"> OCLC Worldshare Management for cataloging metadata and interlibrary loan</w:t>
      </w:r>
      <w:r>
        <w:t xml:space="preserve"> remains a local expense two years after moving to ExLibris for the LSP program</w:t>
      </w:r>
      <w:r w:rsidR="00000A67">
        <w:t xml:space="preserve">. </w:t>
      </w:r>
      <w:r>
        <w:t>The funds to cover the cost of the LSP</w:t>
      </w:r>
      <w:r w:rsidR="0029439A">
        <w:t xml:space="preserve"> and the cost for the required OCLC contract</w:t>
      </w:r>
      <w:r>
        <w:t xml:space="preserve"> were included in the </w:t>
      </w:r>
      <w:r w:rsidR="0029439A">
        <w:t>Governor’s 2021 budget; however, how the libraries pay for the service remains in flux. Currently, each library pays for the agreed upon price and is reimbursed by the Chancellor’s office. The hope is that by 2022-2023, the costs to all colleges in the consortia will be paid out of the state fund, eliminating the need for reimbursement. Once this process is in place, and an agreement on resource sharing is determined, the library will discontinue its subscription to OCLC for ILL.</w:t>
      </w:r>
      <w:r w:rsidR="00713852">
        <w:t xml:space="preserve"> </w:t>
      </w:r>
    </w:p>
    <w:p w14:paraId="6A4FB661" w14:textId="77777777" w:rsidR="008B3A64" w:rsidRDefault="008B3A64" w:rsidP="003374C4">
      <w:pPr>
        <w:spacing w:line="240" w:lineRule="auto"/>
        <w:contextualSpacing/>
      </w:pPr>
    </w:p>
    <w:p w14:paraId="1EB7363F" w14:textId="4051FF40" w:rsidR="00822549" w:rsidRDefault="0029439A" w:rsidP="002D7D58">
      <w:pPr>
        <w:spacing w:line="240" w:lineRule="auto"/>
        <w:contextualSpacing/>
      </w:pPr>
      <w:r>
        <w:t>As noted above, there is an increased demand for eBooks. The library will pursue purchasing eBooks using two processes: Direct purchase and Data Driven Acquisition</w:t>
      </w:r>
      <w:r w:rsidR="00BD4C8D">
        <w:t xml:space="preserve"> (DDA)</w:t>
      </w:r>
      <w:r>
        <w:t xml:space="preserve">. The former is </w:t>
      </w:r>
      <w:r w:rsidR="00BD4C8D">
        <w:t>like</w:t>
      </w:r>
      <w:r>
        <w:t xml:space="preserve"> purchasing individual titles in print except the </w:t>
      </w:r>
      <w:r w:rsidR="00BD4C8D">
        <w:t xml:space="preserve">format will be electronic. The library will own the eBooks in perpetuity. The alter, Data Driven Acquisition, adds selected titles to the collection based on pre-determined triggers—number of minutes a user is in the book. </w:t>
      </w:r>
      <w:r w:rsidR="00C514D4">
        <w:t xml:space="preserve"> </w:t>
      </w:r>
    </w:p>
    <w:p w14:paraId="1854D55E" w14:textId="77777777" w:rsidR="00B53391" w:rsidRDefault="00B53391" w:rsidP="002D7D58">
      <w:pPr>
        <w:spacing w:line="240" w:lineRule="auto"/>
        <w:contextualSpacing/>
      </w:pPr>
    </w:p>
    <w:p w14:paraId="430938C1" w14:textId="77777777" w:rsidR="00156F3E" w:rsidRPr="00452584" w:rsidRDefault="00452584" w:rsidP="002D7D58">
      <w:pPr>
        <w:spacing w:line="240" w:lineRule="auto"/>
        <w:contextualSpacing/>
        <w:rPr>
          <w:b/>
        </w:rPr>
      </w:pPr>
      <w:r w:rsidRPr="00452584">
        <w:rPr>
          <w:b/>
        </w:rPr>
        <w:t>IIB. Probe the Results: I Wonder . . .</w:t>
      </w:r>
    </w:p>
    <w:p w14:paraId="53D31DE0" w14:textId="77777777" w:rsidR="00B16F3E" w:rsidRDefault="00B16F3E" w:rsidP="002D7D58">
      <w:pPr>
        <w:spacing w:line="240" w:lineRule="auto"/>
        <w:contextualSpacing/>
      </w:pPr>
    </w:p>
    <w:p w14:paraId="5149CAAC" w14:textId="02611151" w:rsidR="004626EF" w:rsidRDefault="004626EF" w:rsidP="002D7D58">
      <w:pPr>
        <w:spacing w:line="240" w:lineRule="auto"/>
        <w:contextualSpacing/>
      </w:pPr>
      <w:r>
        <w:t>I wonder if more faculty requested library workshops, would student success rates increase in more classes? Would more students be prepared for their next course? Would more students graduate sooner because they were prepared for college level research?</w:t>
      </w:r>
    </w:p>
    <w:p w14:paraId="376E9644" w14:textId="77777777" w:rsidR="004626EF" w:rsidRDefault="004626EF" w:rsidP="002D7D58">
      <w:pPr>
        <w:spacing w:line="240" w:lineRule="auto"/>
        <w:contextualSpacing/>
      </w:pPr>
    </w:p>
    <w:p w14:paraId="41CBC87A" w14:textId="16F1058C" w:rsidR="003B78C4" w:rsidRDefault="00B44EA3" w:rsidP="002D7D58">
      <w:pPr>
        <w:spacing w:line="240" w:lineRule="auto"/>
        <w:contextualSpacing/>
      </w:pPr>
      <w:r>
        <w:t>I wonder if enrollment in INCO 1048 or LIBR 1548 were a required course for all degrees—not just a local graduation requirement, would more students successful</w:t>
      </w:r>
      <w:r w:rsidR="003B78C4">
        <w:t>ly</w:t>
      </w:r>
      <w:r>
        <w:t xml:space="preserve"> pass more classes the first time they take it? </w:t>
      </w:r>
    </w:p>
    <w:p w14:paraId="6819386F" w14:textId="77777777" w:rsidR="003B78C4" w:rsidRDefault="003B78C4" w:rsidP="002D7D58">
      <w:pPr>
        <w:spacing w:line="240" w:lineRule="auto"/>
        <w:contextualSpacing/>
      </w:pPr>
    </w:p>
    <w:p w14:paraId="23704180" w14:textId="2455B950" w:rsidR="00667158" w:rsidRDefault="00216180" w:rsidP="002D7D58">
      <w:pPr>
        <w:spacing w:line="240" w:lineRule="auto"/>
        <w:contextualSpacing/>
      </w:pPr>
      <w:r>
        <w:t xml:space="preserve">Student and faculty awareness of library resources is improving. </w:t>
      </w:r>
      <w:r w:rsidR="00514018">
        <w:t xml:space="preserve">The library will continue to utilize </w:t>
      </w:r>
      <w:r w:rsidR="008B3A64">
        <w:t xml:space="preserve">library guides and create Canvas modules </w:t>
      </w:r>
      <w:r w:rsidR="00822549">
        <w:t xml:space="preserve">that teach students how to use library resources effectively and efficiently. </w:t>
      </w:r>
    </w:p>
    <w:p w14:paraId="248D9515" w14:textId="77777777" w:rsidR="007958FF" w:rsidRDefault="007958FF" w:rsidP="002D7D58">
      <w:pPr>
        <w:spacing w:line="240" w:lineRule="auto"/>
        <w:contextualSpacing/>
      </w:pPr>
    </w:p>
    <w:p w14:paraId="669D0857" w14:textId="77777777" w:rsidR="007A3FE2" w:rsidRDefault="004E2508" w:rsidP="002D7D58">
      <w:pPr>
        <w:spacing w:line="240" w:lineRule="auto"/>
        <w:contextualSpacing/>
        <w:rPr>
          <w:b/>
        </w:rPr>
      </w:pPr>
      <w:r w:rsidRPr="004E2508">
        <w:rPr>
          <w:b/>
        </w:rPr>
        <w:t xml:space="preserve">IIC. Ideate Innovations: What if . . . </w:t>
      </w:r>
    </w:p>
    <w:p w14:paraId="3155D6E9" w14:textId="77777777" w:rsidR="002D7D58" w:rsidRDefault="002D7D58" w:rsidP="002D7D58">
      <w:pPr>
        <w:spacing w:line="240" w:lineRule="auto"/>
        <w:contextualSpacing/>
        <w:rPr>
          <w:b/>
        </w:rPr>
      </w:pPr>
    </w:p>
    <w:p w14:paraId="029F723C" w14:textId="77777777" w:rsidR="003A44B8" w:rsidRDefault="00C72C2C" w:rsidP="002D7D58">
      <w:pPr>
        <w:spacing w:line="240" w:lineRule="auto"/>
        <w:contextualSpacing/>
      </w:pPr>
      <w:r>
        <w:t xml:space="preserve">What if </w:t>
      </w:r>
      <w:r w:rsidR="00091C69">
        <w:t xml:space="preserve">additional librarians were hired to teach </w:t>
      </w:r>
      <w:r w:rsidR="0041722A">
        <w:t>research skills</w:t>
      </w:r>
      <w:r w:rsidR="00091C69">
        <w:t xml:space="preserve"> workshops, INCO courses, and be embedded in transfer level courses?  Would more students finish the course with a passing grade?  </w:t>
      </w:r>
    </w:p>
    <w:p w14:paraId="7DCD0748" w14:textId="77777777" w:rsidR="003A44B8" w:rsidRDefault="003A44B8" w:rsidP="002D7D58">
      <w:pPr>
        <w:spacing w:line="240" w:lineRule="auto"/>
        <w:contextualSpacing/>
      </w:pPr>
    </w:p>
    <w:p w14:paraId="4522724D" w14:textId="2B8CBFBD" w:rsidR="00091C69" w:rsidRDefault="00386715" w:rsidP="002D7D58">
      <w:pPr>
        <w:spacing w:line="240" w:lineRule="auto"/>
        <w:contextualSpacing/>
      </w:pPr>
      <w:r>
        <w:t>What if</w:t>
      </w:r>
      <w:r w:rsidR="00091C69">
        <w:t xml:space="preserve"> more students finish their lower division courses in fewer semesters?  Would more students transfer to a four-year institution? </w:t>
      </w:r>
    </w:p>
    <w:p w14:paraId="591CADF1" w14:textId="77777777" w:rsidR="003A44B8" w:rsidRDefault="003A44B8" w:rsidP="002D7D58">
      <w:pPr>
        <w:spacing w:line="240" w:lineRule="auto"/>
        <w:contextualSpacing/>
      </w:pPr>
    </w:p>
    <w:p w14:paraId="5587BCA7" w14:textId="77777777" w:rsidR="00091C69" w:rsidRDefault="00091C69" w:rsidP="002D7D58">
      <w:pPr>
        <w:spacing w:line="240" w:lineRule="auto"/>
        <w:contextualSpacing/>
      </w:pPr>
      <w:r>
        <w:lastRenderedPageBreak/>
        <w:t xml:space="preserve">What if more faculty used online information literacy modules in their Canvas courses that provide students with the learning support they need to research and write at the college level?  Would more students be successful?  Would retention rates for online courses improve? </w:t>
      </w:r>
    </w:p>
    <w:p w14:paraId="535D33D9" w14:textId="77777777" w:rsidR="002D7D58" w:rsidRDefault="002D7D58" w:rsidP="002D7D58">
      <w:pPr>
        <w:spacing w:line="240" w:lineRule="auto"/>
        <w:contextualSpacing/>
      </w:pPr>
    </w:p>
    <w:p w14:paraId="399AFC3A" w14:textId="335A8876" w:rsidR="000705A7" w:rsidRDefault="000705A7" w:rsidP="002D7D58">
      <w:pPr>
        <w:spacing w:line="240" w:lineRule="auto"/>
        <w:contextualSpacing/>
        <w:rPr>
          <w:b/>
        </w:rPr>
      </w:pPr>
      <w:r w:rsidRPr="000705A7">
        <w:rPr>
          <w:b/>
        </w:rPr>
        <w:t>III. List your 201</w:t>
      </w:r>
      <w:r w:rsidR="006C7BD7">
        <w:rPr>
          <w:b/>
        </w:rPr>
        <w:t>8</w:t>
      </w:r>
      <w:r w:rsidRPr="000705A7">
        <w:rPr>
          <w:b/>
        </w:rPr>
        <w:t>-201</w:t>
      </w:r>
      <w:r w:rsidR="006C7BD7">
        <w:rPr>
          <w:b/>
        </w:rPr>
        <w:t>9</w:t>
      </w:r>
      <w:r w:rsidRPr="000705A7">
        <w:rPr>
          <w:b/>
        </w:rPr>
        <w:t xml:space="preserve"> Goals—Be Quantitative!</w:t>
      </w:r>
    </w:p>
    <w:p w14:paraId="65CD9941" w14:textId="77777777" w:rsidR="0018384C" w:rsidRDefault="0018384C" w:rsidP="0018384C">
      <w:pPr>
        <w:pStyle w:val="ListParagraph"/>
        <w:spacing w:line="240" w:lineRule="auto"/>
        <w:ind w:left="1440"/>
      </w:pPr>
    </w:p>
    <w:p w14:paraId="59919014" w14:textId="7E200F5D" w:rsidR="00205CB9" w:rsidRDefault="00205CB9" w:rsidP="001835C9">
      <w:pPr>
        <w:pStyle w:val="ListParagraph"/>
        <w:numPr>
          <w:ilvl w:val="0"/>
          <w:numId w:val="10"/>
        </w:numPr>
        <w:spacing w:line="240" w:lineRule="auto"/>
      </w:pPr>
      <w:r>
        <w:t xml:space="preserve">Hire </w:t>
      </w:r>
      <w:r w:rsidR="00701D7F">
        <w:t xml:space="preserve">one </w:t>
      </w:r>
      <w:r>
        <w:t>additional librarian, either full time, part time, or adjunct to meet the increased need for information literacy instruction.</w:t>
      </w:r>
      <w:r w:rsidR="001835C9">
        <w:t xml:space="preserve"> </w:t>
      </w:r>
    </w:p>
    <w:p w14:paraId="22869EA1" w14:textId="4E6AD187" w:rsidR="00CF2C90" w:rsidRDefault="005B7FA8" w:rsidP="001835C9">
      <w:pPr>
        <w:pStyle w:val="ListParagraph"/>
        <w:numPr>
          <w:ilvl w:val="0"/>
          <w:numId w:val="10"/>
        </w:numPr>
        <w:spacing w:line="240" w:lineRule="auto"/>
      </w:pPr>
      <w:r>
        <w:t>Fill the vacant library technician position and h</w:t>
      </w:r>
      <w:r w:rsidR="00CF2C90">
        <w:t xml:space="preserve">ire </w:t>
      </w:r>
      <w:r w:rsidR="002F7503">
        <w:t xml:space="preserve">one </w:t>
      </w:r>
      <w:r w:rsidR="00CF2C90">
        <w:t xml:space="preserve">additional library staff </w:t>
      </w:r>
      <w:r w:rsidR="002F7503">
        <w:t>member</w:t>
      </w:r>
      <w:r w:rsidR="00CF2C90">
        <w:t>.</w:t>
      </w:r>
    </w:p>
    <w:p w14:paraId="0C520E53" w14:textId="789FDA67" w:rsidR="001F2218" w:rsidRDefault="001F2218" w:rsidP="001835C9">
      <w:pPr>
        <w:pStyle w:val="ListParagraph"/>
        <w:numPr>
          <w:ilvl w:val="0"/>
          <w:numId w:val="10"/>
        </w:numPr>
        <w:spacing w:line="240" w:lineRule="auto"/>
      </w:pPr>
      <w:r>
        <w:t>Secure budget funds to cover</w:t>
      </w:r>
      <w:r w:rsidR="003A0B51">
        <w:t xml:space="preserve"> student workers for</w:t>
      </w:r>
      <w:r>
        <w:t xml:space="preserve"> </w:t>
      </w:r>
      <w:r w:rsidR="003A0B51">
        <w:t>all hours the library is open.</w:t>
      </w:r>
    </w:p>
    <w:p w14:paraId="278A92A3" w14:textId="23E4F96B" w:rsidR="00280ADD" w:rsidRDefault="00280ADD" w:rsidP="001835C9">
      <w:pPr>
        <w:pStyle w:val="ListParagraph"/>
        <w:numPr>
          <w:ilvl w:val="0"/>
          <w:numId w:val="10"/>
        </w:numPr>
        <w:spacing w:line="240" w:lineRule="auto"/>
      </w:pPr>
      <w:r>
        <w:t>Secure funds to replace 14 desktop computers.</w:t>
      </w:r>
    </w:p>
    <w:p w14:paraId="537F2394" w14:textId="2241497A" w:rsidR="00BB6F89" w:rsidRDefault="00BB6F89" w:rsidP="00BB6F89">
      <w:pPr>
        <w:pStyle w:val="ListParagraph"/>
        <w:numPr>
          <w:ilvl w:val="0"/>
          <w:numId w:val="10"/>
        </w:numPr>
        <w:spacing w:line="240" w:lineRule="auto"/>
      </w:pPr>
      <w:r>
        <w:t xml:space="preserve">Improve INCO success rates by </w:t>
      </w:r>
      <w:r w:rsidR="00280ADD">
        <w:t>2</w:t>
      </w:r>
      <w:r>
        <w:t>%</w:t>
      </w:r>
      <w:r w:rsidR="00280ADD">
        <w:t>.</w:t>
      </w:r>
      <w:r>
        <w:t xml:space="preserve"> </w:t>
      </w:r>
    </w:p>
    <w:p w14:paraId="0C9410CA" w14:textId="3DAC8B5D" w:rsidR="003A0B51" w:rsidRDefault="003A0B51" w:rsidP="00BB6F89">
      <w:pPr>
        <w:pStyle w:val="ListParagraph"/>
        <w:numPr>
          <w:ilvl w:val="0"/>
          <w:numId w:val="10"/>
        </w:numPr>
        <w:spacing w:line="240" w:lineRule="auto"/>
      </w:pPr>
      <w:r>
        <w:t xml:space="preserve">Improve INCO SLO </w:t>
      </w:r>
      <w:r w:rsidR="003A5C11">
        <w:t>‘</w:t>
      </w:r>
      <w:r>
        <w:t>meets or exceeds</w:t>
      </w:r>
      <w:r w:rsidR="003A5C11">
        <w:t>’</w:t>
      </w:r>
      <w:r>
        <w:t xml:space="preserve"> performance by </w:t>
      </w:r>
      <w:r w:rsidR="00280ADD">
        <w:t>5</w:t>
      </w:r>
      <w:r>
        <w:t>%</w:t>
      </w:r>
      <w:r w:rsidR="00280ADD">
        <w:t>.</w:t>
      </w:r>
    </w:p>
    <w:sectPr w:rsidR="003A0B5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E4099" w14:textId="77777777" w:rsidR="00476DEA" w:rsidRDefault="00476DEA" w:rsidP="00476DEA">
      <w:pPr>
        <w:spacing w:after="0" w:line="240" w:lineRule="auto"/>
      </w:pPr>
      <w:r>
        <w:separator/>
      </w:r>
    </w:p>
  </w:endnote>
  <w:endnote w:type="continuationSeparator" w:id="0">
    <w:p w14:paraId="6B4FF2C3" w14:textId="77777777" w:rsidR="00476DEA" w:rsidRDefault="00476DEA" w:rsidP="00476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ns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838277"/>
      <w:docPartObj>
        <w:docPartGallery w:val="Page Numbers (Bottom of Page)"/>
        <w:docPartUnique/>
      </w:docPartObj>
    </w:sdtPr>
    <w:sdtEndPr/>
    <w:sdtContent>
      <w:sdt>
        <w:sdtPr>
          <w:id w:val="-1769616900"/>
          <w:docPartObj>
            <w:docPartGallery w:val="Page Numbers (Top of Page)"/>
            <w:docPartUnique/>
          </w:docPartObj>
        </w:sdtPr>
        <w:sdtEndPr/>
        <w:sdtContent>
          <w:p w14:paraId="75C396D0" w14:textId="0147F48D" w:rsidR="00B53C51" w:rsidRDefault="00B53C51">
            <w:pPr>
              <w:pStyle w:val="Footer"/>
              <w:jc w:val="right"/>
            </w:pPr>
            <w:r>
              <w:t xml:space="preserve"> January </w:t>
            </w:r>
            <w:r w:rsidR="0041246A">
              <w:t>23, 2023</w:t>
            </w:r>
            <w:r>
              <w:t xml:space="preserve"> 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9BA2875" w14:textId="77777777" w:rsidR="00233C1E" w:rsidRDefault="00233C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1249C" w14:textId="77777777" w:rsidR="00476DEA" w:rsidRDefault="00476DEA" w:rsidP="00476DEA">
      <w:pPr>
        <w:spacing w:after="0" w:line="240" w:lineRule="auto"/>
      </w:pPr>
      <w:r>
        <w:separator/>
      </w:r>
    </w:p>
  </w:footnote>
  <w:footnote w:type="continuationSeparator" w:id="0">
    <w:p w14:paraId="1A8AF0A3" w14:textId="77777777" w:rsidR="00476DEA" w:rsidRDefault="00476DEA" w:rsidP="00476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C4C7C" w14:textId="77777777" w:rsidR="00E85485" w:rsidRDefault="00282F8F">
    <w:pPr>
      <w:pStyle w:val="Header"/>
    </w:pPr>
    <w:r>
      <w:t>Library APR</w:t>
    </w:r>
    <w:r w:rsidR="00591467">
      <w:t xml:space="preserve"> for</w:t>
    </w:r>
    <w:r w:rsidR="00B53C51">
      <w:t xml:space="preserve"> AY</w:t>
    </w:r>
    <w:r w:rsidR="00591467">
      <w:t xml:space="preserve"> </w:t>
    </w:r>
    <w:r w:rsidR="00E961A2">
      <w:t xml:space="preserve">Fall </w:t>
    </w:r>
    <w:r w:rsidR="00591467">
      <w:t>20</w:t>
    </w:r>
    <w:r w:rsidR="00391F3D">
      <w:t>2</w:t>
    </w:r>
    <w:r w:rsidR="00E85485">
      <w:t>1</w:t>
    </w:r>
    <w:r w:rsidR="00591467">
      <w:t>-</w:t>
    </w:r>
    <w:r w:rsidR="00E961A2">
      <w:t>Spring</w:t>
    </w:r>
    <w:r w:rsidR="00B53C51">
      <w:t xml:space="preserve"> </w:t>
    </w:r>
    <w:r w:rsidR="00591467">
      <w:t>20</w:t>
    </w:r>
    <w:r w:rsidR="00ED5DB5">
      <w:t>2</w:t>
    </w:r>
    <w:r w:rsidR="00E85485">
      <w:t>2</w:t>
    </w:r>
  </w:p>
  <w:p w14:paraId="0EE44BBF" w14:textId="03A90E0A" w:rsidR="00591467" w:rsidRDefault="00591467">
    <w:pPr>
      <w:pStyle w:val="Header"/>
    </w:pPr>
    <w:r>
      <w:t xml:space="preserve">  </w:t>
    </w:r>
  </w:p>
  <w:p w14:paraId="7FEC47E6" w14:textId="77777777" w:rsidR="00591467" w:rsidRDefault="00591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86D8C"/>
    <w:multiLevelType w:val="multilevel"/>
    <w:tmpl w:val="B244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A1CA3"/>
    <w:multiLevelType w:val="multilevel"/>
    <w:tmpl w:val="ADEE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CA3F94"/>
    <w:multiLevelType w:val="hybridMultilevel"/>
    <w:tmpl w:val="4CA6D5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6577F7B"/>
    <w:multiLevelType w:val="hybridMultilevel"/>
    <w:tmpl w:val="ABC2C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3D47B9"/>
    <w:multiLevelType w:val="hybridMultilevel"/>
    <w:tmpl w:val="AEFC6F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D7258E"/>
    <w:multiLevelType w:val="hybridMultilevel"/>
    <w:tmpl w:val="ED64A7AA"/>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6" w15:restartNumberingAfterBreak="0">
    <w:nsid w:val="35E00D59"/>
    <w:multiLevelType w:val="hybridMultilevel"/>
    <w:tmpl w:val="5DD88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535534"/>
    <w:multiLevelType w:val="hybridMultilevel"/>
    <w:tmpl w:val="CC4E7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A70986"/>
    <w:multiLevelType w:val="hybridMultilevel"/>
    <w:tmpl w:val="0330A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71106C"/>
    <w:multiLevelType w:val="hybridMultilevel"/>
    <w:tmpl w:val="1BD2BE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75815695">
    <w:abstractNumId w:val="8"/>
  </w:num>
  <w:num w:numId="2" w16cid:durableId="1365012769">
    <w:abstractNumId w:val="0"/>
  </w:num>
  <w:num w:numId="3" w16cid:durableId="2166772">
    <w:abstractNumId w:val="1"/>
  </w:num>
  <w:num w:numId="4" w16cid:durableId="618491231">
    <w:abstractNumId w:val="3"/>
  </w:num>
  <w:num w:numId="5" w16cid:durableId="532158996">
    <w:abstractNumId w:val="5"/>
  </w:num>
  <w:num w:numId="6" w16cid:durableId="1503814787">
    <w:abstractNumId w:val="6"/>
  </w:num>
  <w:num w:numId="7" w16cid:durableId="1224636425">
    <w:abstractNumId w:val="7"/>
  </w:num>
  <w:num w:numId="8" w16cid:durableId="912588961">
    <w:abstractNumId w:val="2"/>
  </w:num>
  <w:num w:numId="9" w16cid:durableId="763302729">
    <w:abstractNumId w:val="9"/>
  </w:num>
  <w:num w:numId="10" w16cid:durableId="19456488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31C"/>
    <w:rsid w:val="00000A67"/>
    <w:rsid w:val="00001E1B"/>
    <w:rsid w:val="00004A95"/>
    <w:rsid w:val="00010B4D"/>
    <w:rsid w:val="00011616"/>
    <w:rsid w:val="00011DC8"/>
    <w:rsid w:val="0001235F"/>
    <w:rsid w:val="0001271C"/>
    <w:rsid w:val="000143F0"/>
    <w:rsid w:val="00014954"/>
    <w:rsid w:val="00015E41"/>
    <w:rsid w:val="00015FF3"/>
    <w:rsid w:val="000207F3"/>
    <w:rsid w:val="00021203"/>
    <w:rsid w:val="00021D76"/>
    <w:rsid w:val="00023B0C"/>
    <w:rsid w:val="00026452"/>
    <w:rsid w:val="00026D54"/>
    <w:rsid w:val="00030073"/>
    <w:rsid w:val="00033D0B"/>
    <w:rsid w:val="00035DDE"/>
    <w:rsid w:val="00036963"/>
    <w:rsid w:val="00036B6C"/>
    <w:rsid w:val="00040B4B"/>
    <w:rsid w:val="000435D6"/>
    <w:rsid w:val="00044E1F"/>
    <w:rsid w:val="000453A3"/>
    <w:rsid w:val="00047875"/>
    <w:rsid w:val="00050935"/>
    <w:rsid w:val="0005166D"/>
    <w:rsid w:val="00052BAB"/>
    <w:rsid w:val="0005519F"/>
    <w:rsid w:val="00057B36"/>
    <w:rsid w:val="00060A8C"/>
    <w:rsid w:val="00060CEA"/>
    <w:rsid w:val="00061E6D"/>
    <w:rsid w:val="0006584E"/>
    <w:rsid w:val="00067F8E"/>
    <w:rsid w:val="000705A7"/>
    <w:rsid w:val="0007100B"/>
    <w:rsid w:val="00071DD8"/>
    <w:rsid w:val="000720CD"/>
    <w:rsid w:val="00072610"/>
    <w:rsid w:val="0007400D"/>
    <w:rsid w:val="00074462"/>
    <w:rsid w:val="00074AE3"/>
    <w:rsid w:val="000775CC"/>
    <w:rsid w:val="00081AD7"/>
    <w:rsid w:val="000829BF"/>
    <w:rsid w:val="000855D4"/>
    <w:rsid w:val="00085AEB"/>
    <w:rsid w:val="00091579"/>
    <w:rsid w:val="00091C69"/>
    <w:rsid w:val="00093CA7"/>
    <w:rsid w:val="00096954"/>
    <w:rsid w:val="000973C9"/>
    <w:rsid w:val="000979CE"/>
    <w:rsid w:val="000A030A"/>
    <w:rsid w:val="000A0FEE"/>
    <w:rsid w:val="000A129E"/>
    <w:rsid w:val="000A3053"/>
    <w:rsid w:val="000A41EA"/>
    <w:rsid w:val="000A425E"/>
    <w:rsid w:val="000A70B2"/>
    <w:rsid w:val="000A736B"/>
    <w:rsid w:val="000B2BF0"/>
    <w:rsid w:val="000B680A"/>
    <w:rsid w:val="000B68EF"/>
    <w:rsid w:val="000C1C88"/>
    <w:rsid w:val="000C4EE7"/>
    <w:rsid w:val="000C5B11"/>
    <w:rsid w:val="000C64F0"/>
    <w:rsid w:val="000C7E41"/>
    <w:rsid w:val="000D04D1"/>
    <w:rsid w:val="000D260E"/>
    <w:rsid w:val="000D2FFE"/>
    <w:rsid w:val="000D375D"/>
    <w:rsid w:val="000D403E"/>
    <w:rsid w:val="000D4BBB"/>
    <w:rsid w:val="000D6006"/>
    <w:rsid w:val="000D6104"/>
    <w:rsid w:val="000D66FA"/>
    <w:rsid w:val="000D6C2E"/>
    <w:rsid w:val="000E7A65"/>
    <w:rsid w:val="000F1205"/>
    <w:rsid w:val="000F12A5"/>
    <w:rsid w:val="000F21AF"/>
    <w:rsid w:val="000F3E49"/>
    <w:rsid w:val="000F3E74"/>
    <w:rsid w:val="000F49F8"/>
    <w:rsid w:val="000F5D12"/>
    <w:rsid w:val="000F712A"/>
    <w:rsid w:val="000F77FA"/>
    <w:rsid w:val="00100C24"/>
    <w:rsid w:val="00100DAC"/>
    <w:rsid w:val="00102198"/>
    <w:rsid w:val="00103925"/>
    <w:rsid w:val="00104B00"/>
    <w:rsid w:val="00104E50"/>
    <w:rsid w:val="00110957"/>
    <w:rsid w:val="00110A20"/>
    <w:rsid w:val="001125C0"/>
    <w:rsid w:val="001133F0"/>
    <w:rsid w:val="0011387E"/>
    <w:rsid w:val="00115046"/>
    <w:rsid w:val="00115838"/>
    <w:rsid w:val="00117F03"/>
    <w:rsid w:val="00120C4E"/>
    <w:rsid w:val="00121088"/>
    <w:rsid w:val="001220C9"/>
    <w:rsid w:val="00123718"/>
    <w:rsid w:val="00125A4B"/>
    <w:rsid w:val="0012694E"/>
    <w:rsid w:val="00130023"/>
    <w:rsid w:val="001305B2"/>
    <w:rsid w:val="00130794"/>
    <w:rsid w:val="001312DD"/>
    <w:rsid w:val="0013188D"/>
    <w:rsid w:val="00131B04"/>
    <w:rsid w:val="00131B73"/>
    <w:rsid w:val="00131DFB"/>
    <w:rsid w:val="00133184"/>
    <w:rsid w:val="00133A8F"/>
    <w:rsid w:val="00134474"/>
    <w:rsid w:val="0013592D"/>
    <w:rsid w:val="00140F9B"/>
    <w:rsid w:val="00144C3D"/>
    <w:rsid w:val="00144FAC"/>
    <w:rsid w:val="00147847"/>
    <w:rsid w:val="00150BE5"/>
    <w:rsid w:val="00151DF8"/>
    <w:rsid w:val="0015355C"/>
    <w:rsid w:val="0015406A"/>
    <w:rsid w:val="00156264"/>
    <w:rsid w:val="00156F3E"/>
    <w:rsid w:val="001572D6"/>
    <w:rsid w:val="00157DA7"/>
    <w:rsid w:val="00160014"/>
    <w:rsid w:val="0016104A"/>
    <w:rsid w:val="00161267"/>
    <w:rsid w:val="001624F2"/>
    <w:rsid w:val="00162C3F"/>
    <w:rsid w:val="00162D0F"/>
    <w:rsid w:val="00165C05"/>
    <w:rsid w:val="00167530"/>
    <w:rsid w:val="001709F0"/>
    <w:rsid w:val="00171E6F"/>
    <w:rsid w:val="001735A7"/>
    <w:rsid w:val="001758D6"/>
    <w:rsid w:val="00176A6A"/>
    <w:rsid w:val="0018054A"/>
    <w:rsid w:val="00181D32"/>
    <w:rsid w:val="00182842"/>
    <w:rsid w:val="001831E0"/>
    <w:rsid w:val="001835C9"/>
    <w:rsid w:val="0018384C"/>
    <w:rsid w:val="00185161"/>
    <w:rsid w:val="00185873"/>
    <w:rsid w:val="00186925"/>
    <w:rsid w:val="001909D4"/>
    <w:rsid w:val="00191629"/>
    <w:rsid w:val="001916BC"/>
    <w:rsid w:val="00191816"/>
    <w:rsid w:val="00191E25"/>
    <w:rsid w:val="0019275F"/>
    <w:rsid w:val="001930B6"/>
    <w:rsid w:val="00193845"/>
    <w:rsid w:val="00193D18"/>
    <w:rsid w:val="00194EAC"/>
    <w:rsid w:val="00195237"/>
    <w:rsid w:val="00196634"/>
    <w:rsid w:val="001A0A62"/>
    <w:rsid w:val="001A12FE"/>
    <w:rsid w:val="001A1F55"/>
    <w:rsid w:val="001A20A0"/>
    <w:rsid w:val="001A3B5F"/>
    <w:rsid w:val="001A3E99"/>
    <w:rsid w:val="001A48BD"/>
    <w:rsid w:val="001A4F70"/>
    <w:rsid w:val="001A524A"/>
    <w:rsid w:val="001A609E"/>
    <w:rsid w:val="001A61A4"/>
    <w:rsid w:val="001A6EA8"/>
    <w:rsid w:val="001A7017"/>
    <w:rsid w:val="001B02B1"/>
    <w:rsid w:val="001B0396"/>
    <w:rsid w:val="001B1500"/>
    <w:rsid w:val="001B2A6F"/>
    <w:rsid w:val="001B6E44"/>
    <w:rsid w:val="001C110F"/>
    <w:rsid w:val="001C16BB"/>
    <w:rsid w:val="001C1FC7"/>
    <w:rsid w:val="001C3339"/>
    <w:rsid w:val="001C35D9"/>
    <w:rsid w:val="001C561D"/>
    <w:rsid w:val="001C5DEC"/>
    <w:rsid w:val="001C7470"/>
    <w:rsid w:val="001C75B4"/>
    <w:rsid w:val="001C7A9E"/>
    <w:rsid w:val="001D2339"/>
    <w:rsid w:val="001D303E"/>
    <w:rsid w:val="001D38D7"/>
    <w:rsid w:val="001D4332"/>
    <w:rsid w:val="001D47E3"/>
    <w:rsid w:val="001D4BF6"/>
    <w:rsid w:val="001D510E"/>
    <w:rsid w:val="001D5681"/>
    <w:rsid w:val="001E1019"/>
    <w:rsid w:val="001E2743"/>
    <w:rsid w:val="001E45D1"/>
    <w:rsid w:val="001E481A"/>
    <w:rsid w:val="001E4F68"/>
    <w:rsid w:val="001E5D0C"/>
    <w:rsid w:val="001E75D0"/>
    <w:rsid w:val="001E76AA"/>
    <w:rsid w:val="001E774F"/>
    <w:rsid w:val="001F2218"/>
    <w:rsid w:val="001F2E4D"/>
    <w:rsid w:val="001F427B"/>
    <w:rsid w:val="001F489A"/>
    <w:rsid w:val="001F5D58"/>
    <w:rsid w:val="001F6C1B"/>
    <w:rsid w:val="001F6F28"/>
    <w:rsid w:val="002028CE"/>
    <w:rsid w:val="00205BB8"/>
    <w:rsid w:val="00205CB9"/>
    <w:rsid w:val="00206166"/>
    <w:rsid w:val="00206A84"/>
    <w:rsid w:val="002107FC"/>
    <w:rsid w:val="002129B1"/>
    <w:rsid w:val="00215486"/>
    <w:rsid w:val="00215EBC"/>
    <w:rsid w:val="00216180"/>
    <w:rsid w:val="0021649A"/>
    <w:rsid w:val="00217009"/>
    <w:rsid w:val="00217AB2"/>
    <w:rsid w:val="00221081"/>
    <w:rsid w:val="0022145F"/>
    <w:rsid w:val="002302B8"/>
    <w:rsid w:val="00230B34"/>
    <w:rsid w:val="00230C21"/>
    <w:rsid w:val="00231156"/>
    <w:rsid w:val="00232AD5"/>
    <w:rsid w:val="0023320B"/>
    <w:rsid w:val="002335B5"/>
    <w:rsid w:val="00233C1E"/>
    <w:rsid w:val="002343C2"/>
    <w:rsid w:val="00235136"/>
    <w:rsid w:val="00235B2F"/>
    <w:rsid w:val="00236A84"/>
    <w:rsid w:val="00236D16"/>
    <w:rsid w:val="00237300"/>
    <w:rsid w:val="002404BC"/>
    <w:rsid w:val="002410E0"/>
    <w:rsid w:val="00241C13"/>
    <w:rsid w:val="00243997"/>
    <w:rsid w:val="002450DE"/>
    <w:rsid w:val="00252763"/>
    <w:rsid w:val="002528F2"/>
    <w:rsid w:val="00254A85"/>
    <w:rsid w:val="00261BDC"/>
    <w:rsid w:val="002622B5"/>
    <w:rsid w:val="002728A2"/>
    <w:rsid w:val="00273156"/>
    <w:rsid w:val="0027393E"/>
    <w:rsid w:val="00273D79"/>
    <w:rsid w:val="00274370"/>
    <w:rsid w:val="002743F1"/>
    <w:rsid w:val="00277080"/>
    <w:rsid w:val="00277EC5"/>
    <w:rsid w:val="00280ADD"/>
    <w:rsid w:val="002825F9"/>
    <w:rsid w:val="00282F8F"/>
    <w:rsid w:val="0028504B"/>
    <w:rsid w:val="00287B65"/>
    <w:rsid w:val="00287F7A"/>
    <w:rsid w:val="00290280"/>
    <w:rsid w:val="00291143"/>
    <w:rsid w:val="00292823"/>
    <w:rsid w:val="00292B8E"/>
    <w:rsid w:val="00293D15"/>
    <w:rsid w:val="0029439A"/>
    <w:rsid w:val="00296431"/>
    <w:rsid w:val="002977CD"/>
    <w:rsid w:val="002A003F"/>
    <w:rsid w:val="002A22CB"/>
    <w:rsid w:val="002A2B20"/>
    <w:rsid w:val="002A6570"/>
    <w:rsid w:val="002A789E"/>
    <w:rsid w:val="002A7AA0"/>
    <w:rsid w:val="002A7FD1"/>
    <w:rsid w:val="002B219F"/>
    <w:rsid w:val="002B3FD4"/>
    <w:rsid w:val="002B50DD"/>
    <w:rsid w:val="002B54C0"/>
    <w:rsid w:val="002B6A7E"/>
    <w:rsid w:val="002B6ECA"/>
    <w:rsid w:val="002B7700"/>
    <w:rsid w:val="002B7966"/>
    <w:rsid w:val="002C0CAF"/>
    <w:rsid w:val="002C109D"/>
    <w:rsid w:val="002C1F2C"/>
    <w:rsid w:val="002C2AE8"/>
    <w:rsid w:val="002C2D7F"/>
    <w:rsid w:val="002C381E"/>
    <w:rsid w:val="002C41FD"/>
    <w:rsid w:val="002C7D62"/>
    <w:rsid w:val="002D1151"/>
    <w:rsid w:val="002D4215"/>
    <w:rsid w:val="002D529B"/>
    <w:rsid w:val="002D53FE"/>
    <w:rsid w:val="002D686C"/>
    <w:rsid w:val="002D7C64"/>
    <w:rsid w:val="002D7D58"/>
    <w:rsid w:val="002E028C"/>
    <w:rsid w:val="002E278C"/>
    <w:rsid w:val="002E785E"/>
    <w:rsid w:val="002E79E0"/>
    <w:rsid w:val="002E7D2F"/>
    <w:rsid w:val="002F0F72"/>
    <w:rsid w:val="002F221D"/>
    <w:rsid w:val="002F2EAD"/>
    <w:rsid w:val="002F58AE"/>
    <w:rsid w:val="002F5E85"/>
    <w:rsid w:val="002F7401"/>
    <w:rsid w:val="002F7503"/>
    <w:rsid w:val="003009FB"/>
    <w:rsid w:val="00301424"/>
    <w:rsid w:val="00301726"/>
    <w:rsid w:val="00301947"/>
    <w:rsid w:val="00303D39"/>
    <w:rsid w:val="0030416E"/>
    <w:rsid w:val="00306611"/>
    <w:rsid w:val="00306A57"/>
    <w:rsid w:val="00307527"/>
    <w:rsid w:val="0030756C"/>
    <w:rsid w:val="00307805"/>
    <w:rsid w:val="003114DC"/>
    <w:rsid w:val="00314094"/>
    <w:rsid w:val="00315392"/>
    <w:rsid w:val="00316A8D"/>
    <w:rsid w:val="00316BDD"/>
    <w:rsid w:val="00317C67"/>
    <w:rsid w:val="0032298A"/>
    <w:rsid w:val="00322AD8"/>
    <w:rsid w:val="00323300"/>
    <w:rsid w:val="00326347"/>
    <w:rsid w:val="00326B08"/>
    <w:rsid w:val="00327119"/>
    <w:rsid w:val="00327685"/>
    <w:rsid w:val="003314BD"/>
    <w:rsid w:val="00332035"/>
    <w:rsid w:val="00334ADA"/>
    <w:rsid w:val="003374C4"/>
    <w:rsid w:val="003375AF"/>
    <w:rsid w:val="00341A07"/>
    <w:rsid w:val="003435F7"/>
    <w:rsid w:val="00343F9F"/>
    <w:rsid w:val="00344115"/>
    <w:rsid w:val="00344691"/>
    <w:rsid w:val="003454C4"/>
    <w:rsid w:val="003475E9"/>
    <w:rsid w:val="0034762A"/>
    <w:rsid w:val="00352552"/>
    <w:rsid w:val="003525E4"/>
    <w:rsid w:val="0035633F"/>
    <w:rsid w:val="00357466"/>
    <w:rsid w:val="003576B2"/>
    <w:rsid w:val="003623B3"/>
    <w:rsid w:val="003665C6"/>
    <w:rsid w:val="003672B6"/>
    <w:rsid w:val="0037171B"/>
    <w:rsid w:val="00372205"/>
    <w:rsid w:val="00373999"/>
    <w:rsid w:val="0037588E"/>
    <w:rsid w:val="00375B55"/>
    <w:rsid w:val="0037616A"/>
    <w:rsid w:val="003761BC"/>
    <w:rsid w:val="00380B56"/>
    <w:rsid w:val="003817AC"/>
    <w:rsid w:val="00383721"/>
    <w:rsid w:val="00384329"/>
    <w:rsid w:val="00386715"/>
    <w:rsid w:val="00386B9A"/>
    <w:rsid w:val="00387A24"/>
    <w:rsid w:val="00390CEE"/>
    <w:rsid w:val="0039125F"/>
    <w:rsid w:val="00391788"/>
    <w:rsid w:val="00391F3D"/>
    <w:rsid w:val="003925E3"/>
    <w:rsid w:val="0039288E"/>
    <w:rsid w:val="00392F10"/>
    <w:rsid w:val="00393821"/>
    <w:rsid w:val="00394AE0"/>
    <w:rsid w:val="00394B0C"/>
    <w:rsid w:val="00395624"/>
    <w:rsid w:val="00395BE1"/>
    <w:rsid w:val="00396141"/>
    <w:rsid w:val="00396BC3"/>
    <w:rsid w:val="003A0B51"/>
    <w:rsid w:val="003A0DB4"/>
    <w:rsid w:val="003A2370"/>
    <w:rsid w:val="003A4286"/>
    <w:rsid w:val="003A44B8"/>
    <w:rsid w:val="003A5C11"/>
    <w:rsid w:val="003A622A"/>
    <w:rsid w:val="003A6D25"/>
    <w:rsid w:val="003A6FFD"/>
    <w:rsid w:val="003B0419"/>
    <w:rsid w:val="003B283F"/>
    <w:rsid w:val="003B514A"/>
    <w:rsid w:val="003B633F"/>
    <w:rsid w:val="003B7414"/>
    <w:rsid w:val="003B78C4"/>
    <w:rsid w:val="003C034F"/>
    <w:rsid w:val="003C18BE"/>
    <w:rsid w:val="003C4D24"/>
    <w:rsid w:val="003C65AF"/>
    <w:rsid w:val="003C7577"/>
    <w:rsid w:val="003C7D7A"/>
    <w:rsid w:val="003D0B1B"/>
    <w:rsid w:val="003D1173"/>
    <w:rsid w:val="003D1DCA"/>
    <w:rsid w:val="003D21A0"/>
    <w:rsid w:val="003D2EF7"/>
    <w:rsid w:val="003D32E7"/>
    <w:rsid w:val="003D458C"/>
    <w:rsid w:val="003D4996"/>
    <w:rsid w:val="003D5ADA"/>
    <w:rsid w:val="003D62FD"/>
    <w:rsid w:val="003E0F18"/>
    <w:rsid w:val="003E4153"/>
    <w:rsid w:val="003E43E8"/>
    <w:rsid w:val="003E4749"/>
    <w:rsid w:val="003E553A"/>
    <w:rsid w:val="003E55EC"/>
    <w:rsid w:val="003E73FE"/>
    <w:rsid w:val="003E7B5D"/>
    <w:rsid w:val="003F20B1"/>
    <w:rsid w:val="003F3E98"/>
    <w:rsid w:val="003F5680"/>
    <w:rsid w:val="003F5ED2"/>
    <w:rsid w:val="003F7C45"/>
    <w:rsid w:val="00400C4A"/>
    <w:rsid w:val="00404163"/>
    <w:rsid w:val="00404789"/>
    <w:rsid w:val="00405869"/>
    <w:rsid w:val="00410955"/>
    <w:rsid w:val="004121AF"/>
    <w:rsid w:val="0041246A"/>
    <w:rsid w:val="00413427"/>
    <w:rsid w:val="004149F7"/>
    <w:rsid w:val="0041722A"/>
    <w:rsid w:val="00420283"/>
    <w:rsid w:val="00420BC5"/>
    <w:rsid w:val="00421F57"/>
    <w:rsid w:val="004224FF"/>
    <w:rsid w:val="004239D2"/>
    <w:rsid w:val="00424F3D"/>
    <w:rsid w:val="004309C3"/>
    <w:rsid w:val="00430B31"/>
    <w:rsid w:val="004328D7"/>
    <w:rsid w:val="00432DBE"/>
    <w:rsid w:val="00434716"/>
    <w:rsid w:val="00435171"/>
    <w:rsid w:val="00435488"/>
    <w:rsid w:val="0043727F"/>
    <w:rsid w:val="00440EC8"/>
    <w:rsid w:val="00441993"/>
    <w:rsid w:val="0044312A"/>
    <w:rsid w:val="00443D4A"/>
    <w:rsid w:val="004443D5"/>
    <w:rsid w:val="0044507B"/>
    <w:rsid w:val="0044511C"/>
    <w:rsid w:val="004453C3"/>
    <w:rsid w:val="00445B79"/>
    <w:rsid w:val="004460F3"/>
    <w:rsid w:val="00447056"/>
    <w:rsid w:val="00447A59"/>
    <w:rsid w:val="00452584"/>
    <w:rsid w:val="004526BC"/>
    <w:rsid w:val="0045369A"/>
    <w:rsid w:val="0045490D"/>
    <w:rsid w:val="00454D46"/>
    <w:rsid w:val="00457203"/>
    <w:rsid w:val="00461B19"/>
    <w:rsid w:val="004626EF"/>
    <w:rsid w:val="00464204"/>
    <w:rsid w:val="00464CF8"/>
    <w:rsid w:val="00464F07"/>
    <w:rsid w:val="00465334"/>
    <w:rsid w:val="0046609E"/>
    <w:rsid w:val="00466B24"/>
    <w:rsid w:val="004677CD"/>
    <w:rsid w:val="00467DEA"/>
    <w:rsid w:val="00470D2E"/>
    <w:rsid w:val="00471CB5"/>
    <w:rsid w:val="0047204E"/>
    <w:rsid w:val="00474143"/>
    <w:rsid w:val="00474AFF"/>
    <w:rsid w:val="00475D74"/>
    <w:rsid w:val="00476DEA"/>
    <w:rsid w:val="004777A1"/>
    <w:rsid w:val="00477866"/>
    <w:rsid w:val="00477A70"/>
    <w:rsid w:val="004802F7"/>
    <w:rsid w:val="0048148A"/>
    <w:rsid w:val="00481974"/>
    <w:rsid w:val="004820C8"/>
    <w:rsid w:val="00482E35"/>
    <w:rsid w:val="004845D8"/>
    <w:rsid w:val="00484F9C"/>
    <w:rsid w:val="0048573C"/>
    <w:rsid w:val="00487363"/>
    <w:rsid w:val="0049211C"/>
    <w:rsid w:val="0049241D"/>
    <w:rsid w:val="00492488"/>
    <w:rsid w:val="00495C79"/>
    <w:rsid w:val="00497B42"/>
    <w:rsid w:val="004A0764"/>
    <w:rsid w:val="004A308B"/>
    <w:rsid w:val="004A33E8"/>
    <w:rsid w:val="004A3813"/>
    <w:rsid w:val="004B232E"/>
    <w:rsid w:val="004B26F1"/>
    <w:rsid w:val="004B3AA8"/>
    <w:rsid w:val="004B5614"/>
    <w:rsid w:val="004B68EC"/>
    <w:rsid w:val="004B6FDA"/>
    <w:rsid w:val="004C04FA"/>
    <w:rsid w:val="004C6254"/>
    <w:rsid w:val="004D0901"/>
    <w:rsid w:val="004D0D53"/>
    <w:rsid w:val="004D231D"/>
    <w:rsid w:val="004D2B04"/>
    <w:rsid w:val="004D483C"/>
    <w:rsid w:val="004D5CEF"/>
    <w:rsid w:val="004D615A"/>
    <w:rsid w:val="004D6470"/>
    <w:rsid w:val="004D6E3D"/>
    <w:rsid w:val="004D7A78"/>
    <w:rsid w:val="004E0CD1"/>
    <w:rsid w:val="004E0D61"/>
    <w:rsid w:val="004E2508"/>
    <w:rsid w:val="004E3D40"/>
    <w:rsid w:val="004E6397"/>
    <w:rsid w:val="004E64D0"/>
    <w:rsid w:val="004E7894"/>
    <w:rsid w:val="004F1F4A"/>
    <w:rsid w:val="004F2620"/>
    <w:rsid w:val="004F32DB"/>
    <w:rsid w:val="004F3BEF"/>
    <w:rsid w:val="004F52DB"/>
    <w:rsid w:val="004F56C5"/>
    <w:rsid w:val="004F5DDF"/>
    <w:rsid w:val="004F62AC"/>
    <w:rsid w:val="004F633A"/>
    <w:rsid w:val="004F70F5"/>
    <w:rsid w:val="00501690"/>
    <w:rsid w:val="00502028"/>
    <w:rsid w:val="00503335"/>
    <w:rsid w:val="00503BCD"/>
    <w:rsid w:val="00504AD7"/>
    <w:rsid w:val="00504E0E"/>
    <w:rsid w:val="005053A4"/>
    <w:rsid w:val="00506728"/>
    <w:rsid w:val="00507351"/>
    <w:rsid w:val="00507C23"/>
    <w:rsid w:val="00511556"/>
    <w:rsid w:val="00511865"/>
    <w:rsid w:val="005134BE"/>
    <w:rsid w:val="0051350B"/>
    <w:rsid w:val="00513FB0"/>
    <w:rsid w:val="00514018"/>
    <w:rsid w:val="005143B9"/>
    <w:rsid w:val="005162D1"/>
    <w:rsid w:val="00517426"/>
    <w:rsid w:val="0052031D"/>
    <w:rsid w:val="00521760"/>
    <w:rsid w:val="0052255D"/>
    <w:rsid w:val="00522B53"/>
    <w:rsid w:val="00522D78"/>
    <w:rsid w:val="005235DF"/>
    <w:rsid w:val="00524EBF"/>
    <w:rsid w:val="00525657"/>
    <w:rsid w:val="005260D9"/>
    <w:rsid w:val="00530870"/>
    <w:rsid w:val="0053115B"/>
    <w:rsid w:val="00531FD2"/>
    <w:rsid w:val="00532EB6"/>
    <w:rsid w:val="00533843"/>
    <w:rsid w:val="00533F57"/>
    <w:rsid w:val="005344BC"/>
    <w:rsid w:val="0053485F"/>
    <w:rsid w:val="00535A3B"/>
    <w:rsid w:val="00537D1C"/>
    <w:rsid w:val="0054014C"/>
    <w:rsid w:val="00542521"/>
    <w:rsid w:val="00543421"/>
    <w:rsid w:val="00543BF6"/>
    <w:rsid w:val="00544AA0"/>
    <w:rsid w:val="0054535F"/>
    <w:rsid w:val="00545FB6"/>
    <w:rsid w:val="00546A92"/>
    <w:rsid w:val="005505B5"/>
    <w:rsid w:val="00555792"/>
    <w:rsid w:val="0055635F"/>
    <w:rsid w:val="00556C62"/>
    <w:rsid w:val="00557CB5"/>
    <w:rsid w:val="005602CA"/>
    <w:rsid w:val="00560439"/>
    <w:rsid w:val="00561699"/>
    <w:rsid w:val="0056289F"/>
    <w:rsid w:val="005633E1"/>
    <w:rsid w:val="0056346A"/>
    <w:rsid w:val="00566018"/>
    <w:rsid w:val="0056621A"/>
    <w:rsid w:val="005709D6"/>
    <w:rsid w:val="00570C6D"/>
    <w:rsid w:val="005715D5"/>
    <w:rsid w:val="00571715"/>
    <w:rsid w:val="0057214B"/>
    <w:rsid w:val="00572C84"/>
    <w:rsid w:val="00574A6C"/>
    <w:rsid w:val="0057658A"/>
    <w:rsid w:val="0058342C"/>
    <w:rsid w:val="00584340"/>
    <w:rsid w:val="0058499B"/>
    <w:rsid w:val="005851D7"/>
    <w:rsid w:val="00585423"/>
    <w:rsid w:val="00585B2A"/>
    <w:rsid w:val="00587EA5"/>
    <w:rsid w:val="00587F1F"/>
    <w:rsid w:val="00590171"/>
    <w:rsid w:val="00591467"/>
    <w:rsid w:val="00592D78"/>
    <w:rsid w:val="00594C47"/>
    <w:rsid w:val="00594E60"/>
    <w:rsid w:val="00594F1A"/>
    <w:rsid w:val="00595053"/>
    <w:rsid w:val="0059663A"/>
    <w:rsid w:val="005A06F0"/>
    <w:rsid w:val="005A2C7D"/>
    <w:rsid w:val="005A5271"/>
    <w:rsid w:val="005A6BF7"/>
    <w:rsid w:val="005B1038"/>
    <w:rsid w:val="005B1206"/>
    <w:rsid w:val="005B18C6"/>
    <w:rsid w:val="005B1EED"/>
    <w:rsid w:val="005B222A"/>
    <w:rsid w:val="005B2801"/>
    <w:rsid w:val="005B2C29"/>
    <w:rsid w:val="005B3F7F"/>
    <w:rsid w:val="005B48D3"/>
    <w:rsid w:val="005B6D5D"/>
    <w:rsid w:val="005B7FA8"/>
    <w:rsid w:val="005C0318"/>
    <w:rsid w:val="005C0400"/>
    <w:rsid w:val="005C3474"/>
    <w:rsid w:val="005C3925"/>
    <w:rsid w:val="005C694F"/>
    <w:rsid w:val="005C6B41"/>
    <w:rsid w:val="005C7F1A"/>
    <w:rsid w:val="005D1E8B"/>
    <w:rsid w:val="005D24E0"/>
    <w:rsid w:val="005D2823"/>
    <w:rsid w:val="005D2B5C"/>
    <w:rsid w:val="005D378F"/>
    <w:rsid w:val="005D3B2D"/>
    <w:rsid w:val="005D4561"/>
    <w:rsid w:val="005D659E"/>
    <w:rsid w:val="005D7ADC"/>
    <w:rsid w:val="005E0A83"/>
    <w:rsid w:val="005E12CC"/>
    <w:rsid w:val="005E503F"/>
    <w:rsid w:val="005E6334"/>
    <w:rsid w:val="005F0B6A"/>
    <w:rsid w:val="005F0C59"/>
    <w:rsid w:val="005F0DB4"/>
    <w:rsid w:val="005F1453"/>
    <w:rsid w:val="005F184B"/>
    <w:rsid w:val="005F317A"/>
    <w:rsid w:val="005F3690"/>
    <w:rsid w:val="005F4A73"/>
    <w:rsid w:val="00600726"/>
    <w:rsid w:val="006014D0"/>
    <w:rsid w:val="00605B19"/>
    <w:rsid w:val="006064B0"/>
    <w:rsid w:val="00607104"/>
    <w:rsid w:val="00607B18"/>
    <w:rsid w:val="00611BEE"/>
    <w:rsid w:val="00612DBE"/>
    <w:rsid w:val="00614AB2"/>
    <w:rsid w:val="00614AB3"/>
    <w:rsid w:val="006152EC"/>
    <w:rsid w:val="006165C7"/>
    <w:rsid w:val="006169F4"/>
    <w:rsid w:val="00620FDC"/>
    <w:rsid w:val="006218A5"/>
    <w:rsid w:val="006231BB"/>
    <w:rsid w:val="006248E8"/>
    <w:rsid w:val="006266CB"/>
    <w:rsid w:val="006270C9"/>
    <w:rsid w:val="00627430"/>
    <w:rsid w:val="00631F0D"/>
    <w:rsid w:val="00635BB1"/>
    <w:rsid w:val="00635DBA"/>
    <w:rsid w:val="00636AB3"/>
    <w:rsid w:val="00636BCD"/>
    <w:rsid w:val="00636D79"/>
    <w:rsid w:val="00641346"/>
    <w:rsid w:val="006413E2"/>
    <w:rsid w:val="00641B06"/>
    <w:rsid w:val="00642F24"/>
    <w:rsid w:val="00642F52"/>
    <w:rsid w:val="00643424"/>
    <w:rsid w:val="00643DE2"/>
    <w:rsid w:val="00644061"/>
    <w:rsid w:val="006462F9"/>
    <w:rsid w:val="00650EA6"/>
    <w:rsid w:val="0065219A"/>
    <w:rsid w:val="00653192"/>
    <w:rsid w:val="00653872"/>
    <w:rsid w:val="00653D62"/>
    <w:rsid w:val="00653D7E"/>
    <w:rsid w:val="006554F1"/>
    <w:rsid w:val="00656621"/>
    <w:rsid w:val="0065665F"/>
    <w:rsid w:val="00660B86"/>
    <w:rsid w:val="00660C4D"/>
    <w:rsid w:val="00660C6A"/>
    <w:rsid w:val="00661322"/>
    <w:rsid w:val="00667158"/>
    <w:rsid w:val="00670712"/>
    <w:rsid w:val="00671C39"/>
    <w:rsid w:val="00674973"/>
    <w:rsid w:val="00674BEA"/>
    <w:rsid w:val="00674CBE"/>
    <w:rsid w:val="00676A5F"/>
    <w:rsid w:val="00682393"/>
    <w:rsid w:val="00682EC9"/>
    <w:rsid w:val="00682FF2"/>
    <w:rsid w:val="006842BF"/>
    <w:rsid w:val="006847D1"/>
    <w:rsid w:val="006866CC"/>
    <w:rsid w:val="00690E35"/>
    <w:rsid w:val="006923BC"/>
    <w:rsid w:val="00692A61"/>
    <w:rsid w:val="00697CCE"/>
    <w:rsid w:val="006A3E06"/>
    <w:rsid w:val="006A457E"/>
    <w:rsid w:val="006A56C5"/>
    <w:rsid w:val="006A6DA9"/>
    <w:rsid w:val="006A703C"/>
    <w:rsid w:val="006A748D"/>
    <w:rsid w:val="006B0130"/>
    <w:rsid w:val="006B16B6"/>
    <w:rsid w:val="006B32E6"/>
    <w:rsid w:val="006B3AE7"/>
    <w:rsid w:val="006B7134"/>
    <w:rsid w:val="006C175C"/>
    <w:rsid w:val="006C189A"/>
    <w:rsid w:val="006C2704"/>
    <w:rsid w:val="006C2D75"/>
    <w:rsid w:val="006C3511"/>
    <w:rsid w:val="006C7BD7"/>
    <w:rsid w:val="006D00EA"/>
    <w:rsid w:val="006D1331"/>
    <w:rsid w:val="006D1E55"/>
    <w:rsid w:val="006D2BF9"/>
    <w:rsid w:val="006D3775"/>
    <w:rsid w:val="006D414D"/>
    <w:rsid w:val="006D5CFA"/>
    <w:rsid w:val="006D6EAC"/>
    <w:rsid w:val="006E02BF"/>
    <w:rsid w:val="006E0464"/>
    <w:rsid w:val="006E06E4"/>
    <w:rsid w:val="006E0ABC"/>
    <w:rsid w:val="006E3141"/>
    <w:rsid w:val="006E32C0"/>
    <w:rsid w:val="006E4D9A"/>
    <w:rsid w:val="006E6A76"/>
    <w:rsid w:val="006E7FEB"/>
    <w:rsid w:val="006F4396"/>
    <w:rsid w:val="006F6E06"/>
    <w:rsid w:val="006F7E42"/>
    <w:rsid w:val="00700416"/>
    <w:rsid w:val="007008C7"/>
    <w:rsid w:val="00701251"/>
    <w:rsid w:val="00701A9F"/>
    <w:rsid w:val="00701D7F"/>
    <w:rsid w:val="0070230F"/>
    <w:rsid w:val="00702E67"/>
    <w:rsid w:val="007036BE"/>
    <w:rsid w:val="00703AC6"/>
    <w:rsid w:val="00703D46"/>
    <w:rsid w:val="0070410B"/>
    <w:rsid w:val="007109C9"/>
    <w:rsid w:val="007118DC"/>
    <w:rsid w:val="00711ADE"/>
    <w:rsid w:val="00713852"/>
    <w:rsid w:val="00721BB4"/>
    <w:rsid w:val="007225B9"/>
    <w:rsid w:val="00722FB5"/>
    <w:rsid w:val="00723272"/>
    <w:rsid w:val="00723A13"/>
    <w:rsid w:val="00723D72"/>
    <w:rsid w:val="00724865"/>
    <w:rsid w:val="0072670C"/>
    <w:rsid w:val="00727289"/>
    <w:rsid w:val="00730EDA"/>
    <w:rsid w:val="00732C88"/>
    <w:rsid w:val="00734E59"/>
    <w:rsid w:val="00737132"/>
    <w:rsid w:val="007378AE"/>
    <w:rsid w:val="00741372"/>
    <w:rsid w:val="00741540"/>
    <w:rsid w:val="00746EB0"/>
    <w:rsid w:val="0074727F"/>
    <w:rsid w:val="00750D1C"/>
    <w:rsid w:val="007527EF"/>
    <w:rsid w:val="0075352E"/>
    <w:rsid w:val="00754069"/>
    <w:rsid w:val="00756C7E"/>
    <w:rsid w:val="0076188F"/>
    <w:rsid w:val="00762541"/>
    <w:rsid w:val="007628FB"/>
    <w:rsid w:val="00762D13"/>
    <w:rsid w:val="00763036"/>
    <w:rsid w:val="007675CB"/>
    <w:rsid w:val="00767AA2"/>
    <w:rsid w:val="00770BC2"/>
    <w:rsid w:val="00772DEE"/>
    <w:rsid w:val="007766B2"/>
    <w:rsid w:val="00776CF4"/>
    <w:rsid w:val="00780FB5"/>
    <w:rsid w:val="00782674"/>
    <w:rsid w:val="00782D0B"/>
    <w:rsid w:val="00783904"/>
    <w:rsid w:val="00785ABD"/>
    <w:rsid w:val="00787282"/>
    <w:rsid w:val="00787CD8"/>
    <w:rsid w:val="00787F1B"/>
    <w:rsid w:val="00790045"/>
    <w:rsid w:val="00790D1E"/>
    <w:rsid w:val="00790DA2"/>
    <w:rsid w:val="00791059"/>
    <w:rsid w:val="007928BD"/>
    <w:rsid w:val="007938F9"/>
    <w:rsid w:val="007958FF"/>
    <w:rsid w:val="00796AF0"/>
    <w:rsid w:val="00796FEA"/>
    <w:rsid w:val="00797312"/>
    <w:rsid w:val="007A0464"/>
    <w:rsid w:val="007A3348"/>
    <w:rsid w:val="007A3FE2"/>
    <w:rsid w:val="007A4AF4"/>
    <w:rsid w:val="007A6115"/>
    <w:rsid w:val="007A6B42"/>
    <w:rsid w:val="007A7327"/>
    <w:rsid w:val="007A736E"/>
    <w:rsid w:val="007A799A"/>
    <w:rsid w:val="007B0D19"/>
    <w:rsid w:val="007B112E"/>
    <w:rsid w:val="007B5010"/>
    <w:rsid w:val="007B7CA1"/>
    <w:rsid w:val="007B7CDE"/>
    <w:rsid w:val="007C2D1E"/>
    <w:rsid w:val="007C5D0E"/>
    <w:rsid w:val="007C74BF"/>
    <w:rsid w:val="007D374E"/>
    <w:rsid w:val="007D3C48"/>
    <w:rsid w:val="007D4685"/>
    <w:rsid w:val="007D5769"/>
    <w:rsid w:val="007D7FA2"/>
    <w:rsid w:val="007E1943"/>
    <w:rsid w:val="007E3A27"/>
    <w:rsid w:val="007E45E9"/>
    <w:rsid w:val="007E4A5E"/>
    <w:rsid w:val="007E565F"/>
    <w:rsid w:val="007E5B93"/>
    <w:rsid w:val="007E66D9"/>
    <w:rsid w:val="007E7298"/>
    <w:rsid w:val="007E7A30"/>
    <w:rsid w:val="007E7AD7"/>
    <w:rsid w:val="007F0B40"/>
    <w:rsid w:val="007F0BA2"/>
    <w:rsid w:val="007F23A5"/>
    <w:rsid w:val="007F3A67"/>
    <w:rsid w:val="007F4513"/>
    <w:rsid w:val="007F4DF0"/>
    <w:rsid w:val="007F6CF8"/>
    <w:rsid w:val="007F7E79"/>
    <w:rsid w:val="00801E82"/>
    <w:rsid w:val="0080320D"/>
    <w:rsid w:val="00806045"/>
    <w:rsid w:val="0080605E"/>
    <w:rsid w:val="00806EB9"/>
    <w:rsid w:val="008070FD"/>
    <w:rsid w:val="00807640"/>
    <w:rsid w:val="008076D5"/>
    <w:rsid w:val="00810FB7"/>
    <w:rsid w:val="0081124B"/>
    <w:rsid w:val="008139B5"/>
    <w:rsid w:val="0081523D"/>
    <w:rsid w:val="00816E64"/>
    <w:rsid w:val="008204AC"/>
    <w:rsid w:val="00820ADE"/>
    <w:rsid w:val="0082175A"/>
    <w:rsid w:val="008220BA"/>
    <w:rsid w:val="00822549"/>
    <w:rsid w:val="00823EF9"/>
    <w:rsid w:val="00824C24"/>
    <w:rsid w:val="0082528E"/>
    <w:rsid w:val="008261E7"/>
    <w:rsid w:val="00827484"/>
    <w:rsid w:val="00831436"/>
    <w:rsid w:val="0083145C"/>
    <w:rsid w:val="008336D0"/>
    <w:rsid w:val="00833EB0"/>
    <w:rsid w:val="00834604"/>
    <w:rsid w:val="008349C2"/>
    <w:rsid w:val="008353AF"/>
    <w:rsid w:val="00835768"/>
    <w:rsid w:val="00835984"/>
    <w:rsid w:val="00836F6D"/>
    <w:rsid w:val="00837245"/>
    <w:rsid w:val="0083782B"/>
    <w:rsid w:val="00843646"/>
    <w:rsid w:val="00844283"/>
    <w:rsid w:val="00844EBF"/>
    <w:rsid w:val="00845F19"/>
    <w:rsid w:val="00851CB7"/>
    <w:rsid w:val="00852AA6"/>
    <w:rsid w:val="00852CC7"/>
    <w:rsid w:val="00853161"/>
    <w:rsid w:val="00854062"/>
    <w:rsid w:val="00857A6B"/>
    <w:rsid w:val="008609B1"/>
    <w:rsid w:val="008609FD"/>
    <w:rsid w:val="00860EC2"/>
    <w:rsid w:val="0086179B"/>
    <w:rsid w:val="00862874"/>
    <w:rsid w:val="00862AE6"/>
    <w:rsid w:val="00862DB4"/>
    <w:rsid w:val="00862F73"/>
    <w:rsid w:val="008638A8"/>
    <w:rsid w:val="008638BA"/>
    <w:rsid w:val="00863C42"/>
    <w:rsid w:val="00864946"/>
    <w:rsid w:val="00866843"/>
    <w:rsid w:val="00866ED7"/>
    <w:rsid w:val="0087160D"/>
    <w:rsid w:val="00872766"/>
    <w:rsid w:val="00874916"/>
    <w:rsid w:val="008752D6"/>
    <w:rsid w:val="00875D48"/>
    <w:rsid w:val="00876E73"/>
    <w:rsid w:val="0088163A"/>
    <w:rsid w:val="008824AA"/>
    <w:rsid w:val="00882548"/>
    <w:rsid w:val="008827A5"/>
    <w:rsid w:val="00883262"/>
    <w:rsid w:val="0088491A"/>
    <w:rsid w:val="00885600"/>
    <w:rsid w:val="00887A8A"/>
    <w:rsid w:val="008902EC"/>
    <w:rsid w:val="0089031D"/>
    <w:rsid w:val="00890B03"/>
    <w:rsid w:val="0089246F"/>
    <w:rsid w:val="00893D6E"/>
    <w:rsid w:val="0089782F"/>
    <w:rsid w:val="008A01C6"/>
    <w:rsid w:val="008A0907"/>
    <w:rsid w:val="008A0C18"/>
    <w:rsid w:val="008A2801"/>
    <w:rsid w:val="008A2808"/>
    <w:rsid w:val="008A28F1"/>
    <w:rsid w:val="008A2F7B"/>
    <w:rsid w:val="008A3367"/>
    <w:rsid w:val="008A3C22"/>
    <w:rsid w:val="008A6CF3"/>
    <w:rsid w:val="008A7483"/>
    <w:rsid w:val="008B14F4"/>
    <w:rsid w:val="008B1A07"/>
    <w:rsid w:val="008B1DF5"/>
    <w:rsid w:val="008B2911"/>
    <w:rsid w:val="008B3A64"/>
    <w:rsid w:val="008B3F83"/>
    <w:rsid w:val="008B6C44"/>
    <w:rsid w:val="008B7B37"/>
    <w:rsid w:val="008C01FD"/>
    <w:rsid w:val="008C035E"/>
    <w:rsid w:val="008C03FF"/>
    <w:rsid w:val="008C260F"/>
    <w:rsid w:val="008C46DE"/>
    <w:rsid w:val="008C4908"/>
    <w:rsid w:val="008C4FB5"/>
    <w:rsid w:val="008C5AA4"/>
    <w:rsid w:val="008C6E7C"/>
    <w:rsid w:val="008C7EB8"/>
    <w:rsid w:val="008D1417"/>
    <w:rsid w:val="008D172B"/>
    <w:rsid w:val="008D2AA0"/>
    <w:rsid w:val="008D4401"/>
    <w:rsid w:val="008D531F"/>
    <w:rsid w:val="008D6F0C"/>
    <w:rsid w:val="008E0B3C"/>
    <w:rsid w:val="008E146F"/>
    <w:rsid w:val="008E3DC0"/>
    <w:rsid w:val="008E47CE"/>
    <w:rsid w:val="008E6014"/>
    <w:rsid w:val="008E6408"/>
    <w:rsid w:val="008E7167"/>
    <w:rsid w:val="008E7844"/>
    <w:rsid w:val="008F0477"/>
    <w:rsid w:val="008F1356"/>
    <w:rsid w:val="008F182C"/>
    <w:rsid w:val="008F184A"/>
    <w:rsid w:val="008F18BA"/>
    <w:rsid w:val="008F212D"/>
    <w:rsid w:val="008F2EAE"/>
    <w:rsid w:val="008F402E"/>
    <w:rsid w:val="008F589B"/>
    <w:rsid w:val="008F617B"/>
    <w:rsid w:val="008F6A4F"/>
    <w:rsid w:val="008F710C"/>
    <w:rsid w:val="00900020"/>
    <w:rsid w:val="009009B3"/>
    <w:rsid w:val="00900F2F"/>
    <w:rsid w:val="00902D66"/>
    <w:rsid w:val="00902E93"/>
    <w:rsid w:val="0090467E"/>
    <w:rsid w:val="00905052"/>
    <w:rsid w:val="00905128"/>
    <w:rsid w:val="0090519F"/>
    <w:rsid w:val="00906508"/>
    <w:rsid w:val="009110EC"/>
    <w:rsid w:val="009113CD"/>
    <w:rsid w:val="00913188"/>
    <w:rsid w:val="00913B89"/>
    <w:rsid w:val="00913CCE"/>
    <w:rsid w:val="00914807"/>
    <w:rsid w:val="00916165"/>
    <w:rsid w:val="00916F48"/>
    <w:rsid w:val="00920CAD"/>
    <w:rsid w:val="009215FD"/>
    <w:rsid w:val="00921B3B"/>
    <w:rsid w:val="00924335"/>
    <w:rsid w:val="00924433"/>
    <w:rsid w:val="009250E2"/>
    <w:rsid w:val="00925BD8"/>
    <w:rsid w:val="00925E6A"/>
    <w:rsid w:val="009264AA"/>
    <w:rsid w:val="00930162"/>
    <w:rsid w:val="0093101D"/>
    <w:rsid w:val="00933B44"/>
    <w:rsid w:val="00936B37"/>
    <w:rsid w:val="00940299"/>
    <w:rsid w:val="00940AF5"/>
    <w:rsid w:val="00940F79"/>
    <w:rsid w:val="00942A45"/>
    <w:rsid w:val="00943B13"/>
    <w:rsid w:val="00943B6D"/>
    <w:rsid w:val="009446CD"/>
    <w:rsid w:val="00944899"/>
    <w:rsid w:val="00945DB8"/>
    <w:rsid w:val="00946764"/>
    <w:rsid w:val="00947A3E"/>
    <w:rsid w:val="009500EF"/>
    <w:rsid w:val="00950A4B"/>
    <w:rsid w:val="00954078"/>
    <w:rsid w:val="0095430E"/>
    <w:rsid w:val="00957DAB"/>
    <w:rsid w:val="0096103F"/>
    <w:rsid w:val="009611C7"/>
    <w:rsid w:val="009626FA"/>
    <w:rsid w:val="00964A87"/>
    <w:rsid w:val="009657D7"/>
    <w:rsid w:val="009658C5"/>
    <w:rsid w:val="009708EB"/>
    <w:rsid w:val="00971A83"/>
    <w:rsid w:val="009731F1"/>
    <w:rsid w:val="00976177"/>
    <w:rsid w:val="00977B90"/>
    <w:rsid w:val="009802B2"/>
    <w:rsid w:val="00980BE8"/>
    <w:rsid w:val="00981428"/>
    <w:rsid w:val="00984F15"/>
    <w:rsid w:val="00985AFB"/>
    <w:rsid w:val="00986A3B"/>
    <w:rsid w:val="0099037E"/>
    <w:rsid w:val="00990BC7"/>
    <w:rsid w:val="00991E9B"/>
    <w:rsid w:val="0099249B"/>
    <w:rsid w:val="009934AE"/>
    <w:rsid w:val="009942C7"/>
    <w:rsid w:val="00994494"/>
    <w:rsid w:val="00995057"/>
    <w:rsid w:val="00995066"/>
    <w:rsid w:val="0099530B"/>
    <w:rsid w:val="0099532B"/>
    <w:rsid w:val="0099674A"/>
    <w:rsid w:val="0099750A"/>
    <w:rsid w:val="00997DA7"/>
    <w:rsid w:val="009A0431"/>
    <w:rsid w:val="009A20AE"/>
    <w:rsid w:val="009A4202"/>
    <w:rsid w:val="009B0C28"/>
    <w:rsid w:val="009B160B"/>
    <w:rsid w:val="009B1610"/>
    <w:rsid w:val="009B2704"/>
    <w:rsid w:val="009B3093"/>
    <w:rsid w:val="009B33C9"/>
    <w:rsid w:val="009B3F3E"/>
    <w:rsid w:val="009B3FE4"/>
    <w:rsid w:val="009B4DFA"/>
    <w:rsid w:val="009B6DC5"/>
    <w:rsid w:val="009C0143"/>
    <w:rsid w:val="009C187D"/>
    <w:rsid w:val="009C5B3E"/>
    <w:rsid w:val="009C6A63"/>
    <w:rsid w:val="009C6AC6"/>
    <w:rsid w:val="009C73A8"/>
    <w:rsid w:val="009D001A"/>
    <w:rsid w:val="009D064B"/>
    <w:rsid w:val="009D0AB6"/>
    <w:rsid w:val="009D13A8"/>
    <w:rsid w:val="009D1DBD"/>
    <w:rsid w:val="009D1DD5"/>
    <w:rsid w:val="009D5408"/>
    <w:rsid w:val="009D7626"/>
    <w:rsid w:val="009D7B30"/>
    <w:rsid w:val="009E08F6"/>
    <w:rsid w:val="009E1FC2"/>
    <w:rsid w:val="009E551E"/>
    <w:rsid w:val="009E649F"/>
    <w:rsid w:val="009E6768"/>
    <w:rsid w:val="009F1C21"/>
    <w:rsid w:val="009F5995"/>
    <w:rsid w:val="009F71A7"/>
    <w:rsid w:val="009F730C"/>
    <w:rsid w:val="00A015A5"/>
    <w:rsid w:val="00A02340"/>
    <w:rsid w:val="00A03552"/>
    <w:rsid w:val="00A057EE"/>
    <w:rsid w:val="00A064BF"/>
    <w:rsid w:val="00A067AB"/>
    <w:rsid w:val="00A06948"/>
    <w:rsid w:val="00A06FD1"/>
    <w:rsid w:val="00A1075C"/>
    <w:rsid w:val="00A137D7"/>
    <w:rsid w:val="00A154BF"/>
    <w:rsid w:val="00A21AEC"/>
    <w:rsid w:val="00A2328F"/>
    <w:rsid w:val="00A242F6"/>
    <w:rsid w:val="00A26AB6"/>
    <w:rsid w:val="00A27674"/>
    <w:rsid w:val="00A27926"/>
    <w:rsid w:val="00A31709"/>
    <w:rsid w:val="00A33B0D"/>
    <w:rsid w:val="00A33C40"/>
    <w:rsid w:val="00A3592F"/>
    <w:rsid w:val="00A3615E"/>
    <w:rsid w:val="00A3658C"/>
    <w:rsid w:val="00A415BA"/>
    <w:rsid w:val="00A416F0"/>
    <w:rsid w:val="00A46208"/>
    <w:rsid w:val="00A47C9A"/>
    <w:rsid w:val="00A509CE"/>
    <w:rsid w:val="00A51068"/>
    <w:rsid w:val="00A527A7"/>
    <w:rsid w:val="00A52929"/>
    <w:rsid w:val="00A53121"/>
    <w:rsid w:val="00A534CB"/>
    <w:rsid w:val="00A54315"/>
    <w:rsid w:val="00A61727"/>
    <w:rsid w:val="00A6275E"/>
    <w:rsid w:val="00A63CCE"/>
    <w:rsid w:val="00A63DD1"/>
    <w:rsid w:val="00A64F11"/>
    <w:rsid w:val="00A67D5D"/>
    <w:rsid w:val="00A7042C"/>
    <w:rsid w:val="00A71504"/>
    <w:rsid w:val="00A72011"/>
    <w:rsid w:val="00A739DD"/>
    <w:rsid w:val="00A74BCC"/>
    <w:rsid w:val="00A750AA"/>
    <w:rsid w:val="00A761E6"/>
    <w:rsid w:val="00A76EA6"/>
    <w:rsid w:val="00A779EE"/>
    <w:rsid w:val="00A77B3F"/>
    <w:rsid w:val="00A80081"/>
    <w:rsid w:val="00A81497"/>
    <w:rsid w:val="00A82890"/>
    <w:rsid w:val="00A85DD8"/>
    <w:rsid w:val="00A86454"/>
    <w:rsid w:val="00A908A3"/>
    <w:rsid w:val="00A915DF"/>
    <w:rsid w:val="00A91FCE"/>
    <w:rsid w:val="00A92A65"/>
    <w:rsid w:val="00A92B86"/>
    <w:rsid w:val="00A93C90"/>
    <w:rsid w:val="00A95912"/>
    <w:rsid w:val="00A968AC"/>
    <w:rsid w:val="00A97B16"/>
    <w:rsid w:val="00A97F7D"/>
    <w:rsid w:val="00AA1CB2"/>
    <w:rsid w:val="00AA6298"/>
    <w:rsid w:val="00AA660A"/>
    <w:rsid w:val="00AA7076"/>
    <w:rsid w:val="00AA79B5"/>
    <w:rsid w:val="00AB0346"/>
    <w:rsid w:val="00AB038A"/>
    <w:rsid w:val="00AB0EFB"/>
    <w:rsid w:val="00AB1D09"/>
    <w:rsid w:val="00AB3250"/>
    <w:rsid w:val="00AB454D"/>
    <w:rsid w:val="00AB64D9"/>
    <w:rsid w:val="00AC1C2B"/>
    <w:rsid w:val="00AC1C57"/>
    <w:rsid w:val="00AC1F96"/>
    <w:rsid w:val="00AC40C9"/>
    <w:rsid w:val="00AC5DBE"/>
    <w:rsid w:val="00AC7157"/>
    <w:rsid w:val="00AC7275"/>
    <w:rsid w:val="00AC79F5"/>
    <w:rsid w:val="00AC7A26"/>
    <w:rsid w:val="00AD373A"/>
    <w:rsid w:val="00AD4254"/>
    <w:rsid w:val="00AD447B"/>
    <w:rsid w:val="00AD56A8"/>
    <w:rsid w:val="00AD73B8"/>
    <w:rsid w:val="00AE02D2"/>
    <w:rsid w:val="00AE09CF"/>
    <w:rsid w:val="00AE0D07"/>
    <w:rsid w:val="00AE2D47"/>
    <w:rsid w:val="00AE3403"/>
    <w:rsid w:val="00AE3B9A"/>
    <w:rsid w:val="00AE455E"/>
    <w:rsid w:val="00AE4F9E"/>
    <w:rsid w:val="00AE5ECC"/>
    <w:rsid w:val="00AE7E82"/>
    <w:rsid w:val="00AF0C22"/>
    <w:rsid w:val="00AF36DF"/>
    <w:rsid w:val="00AF4698"/>
    <w:rsid w:val="00AF5857"/>
    <w:rsid w:val="00B00373"/>
    <w:rsid w:val="00B00DA1"/>
    <w:rsid w:val="00B03DA4"/>
    <w:rsid w:val="00B048A5"/>
    <w:rsid w:val="00B11406"/>
    <w:rsid w:val="00B1158F"/>
    <w:rsid w:val="00B11E0C"/>
    <w:rsid w:val="00B141D9"/>
    <w:rsid w:val="00B15DB7"/>
    <w:rsid w:val="00B16F3E"/>
    <w:rsid w:val="00B21880"/>
    <w:rsid w:val="00B24125"/>
    <w:rsid w:val="00B260C6"/>
    <w:rsid w:val="00B267E1"/>
    <w:rsid w:val="00B26DDF"/>
    <w:rsid w:val="00B27DBC"/>
    <w:rsid w:val="00B30CAC"/>
    <w:rsid w:val="00B327B1"/>
    <w:rsid w:val="00B32804"/>
    <w:rsid w:val="00B33AC4"/>
    <w:rsid w:val="00B341A6"/>
    <w:rsid w:val="00B3483E"/>
    <w:rsid w:val="00B4006A"/>
    <w:rsid w:val="00B401E1"/>
    <w:rsid w:val="00B42186"/>
    <w:rsid w:val="00B43234"/>
    <w:rsid w:val="00B438D2"/>
    <w:rsid w:val="00B43B33"/>
    <w:rsid w:val="00B43B6B"/>
    <w:rsid w:val="00B44982"/>
    <w:rsid w:val="00B44D16"/>
    <w:rsid w:val="00B44E1E"/>
    <w:rsid w:val="00B44EA3"/>
    <w:rsid w:val="00B45A49"/>
    <w:rsid w:val="00B4688B"/>
    <w:rsid w:val="00B46C15"/>
    <w:rsid w:val="00B46FF1"/>
    <w:rsid w:val="00B47961"/>
    <w:rsid w:val="00B51138"/>
    <w:rsid w:val="00B51781"/>
    <w:rsid w:val="00B5226A"/>
    <w:rsid w:val="00B52572"/>
    <w:rsid w:val="00B53391"/>
    <w:rsid w:val="00B53687"/>
    <w:rsid w:val="00B53C51"/>
    <w:rsid w:val="00B53C95"/>
    <w:rsid w:val="00B54418"/>
    <w:rsid w:val="00B55A34"/>
    <w:rsid w:val="00B57AA8"/>
    <w:rsid w:val="00B60EDA"/>
    <w:rsid w:val="00B6200B"/>
    <w:rsid w:val="00B64BA9"/>
    <w:rsid w:val="00B64E84"/>
    <w:rsid w:val="00B653A9"/>
    <w:rsid w:val="00B65DEE"/>
    <w:rsid w:val="00B665E0"/>
    <w:rsid w:val="00B66D47"/>
    <w:rsid w:val="00B71117"/>
    <w:rsid w:val="00B712A0"/>
    <w:rsid w:val="00B73644"/>
    <w:rsid w:val="00B73F81"/>
    <w:rsid w:val="00B74445"/>
    <w:rsid w:val="00B76CA1"/>
    <w:rsid w:val="00B778C5"/>
    <w:rsid w:val="00B848C1"/>
    <w:rsid w:val="00B852B1"/>
    <w:rsid w:val="00B85AFE"/>
    <w:rsid w:val="00B86656"/>
    <w:rsid w:val="00B87025"/>
    <w:rsid w:val="00B871BF"/>
    <w:rsid w:val="00B90594"/>
    <w:rsid w:val="00B90D31"/>
    <w:rsid w:val="00B90F4A"/>
    <w:rsid w:val="00B92738"/>
    <w:rsid w:val="00B95788"/>
    <w:rsid w:val="00B95EBA"/>
    <w:rsid w:val="00BA2038"/>
    <w:rsid w:val="00BA2580"/>
    <w:rsid w:val="00BA37DF"/>
    <w:rsid w:val="00BA4A69"/>
    <w:rsid w:val="00BA549C"/>
    <w:rsid w:val="00BA5B06"/>
    <w:rsid w:val="00BA624B"/>
    <w:rsid w:val="00BA691B"/>
    <w:rsid w:val="00BA718E"/>
    <w:rsid w:val="00BB2079"/>
    <w:rsid w:val="00BB22A1"/>
    <w:rsid w:val="00BB44B4"/>
    <w:rsid w:val="00BB4AFD"/>
    <w:rsid w:val="00BB5E48"/>
    <w:rsid w:val="00BB61AD"/>
    <w:rsid w:val="00BB6F89"/>
    <w:rsid w:val="00BB793D"/>
    <w:rsid w:val="00BB7BD3"/>
    <w:rsid w:val="00BC1A56"/>
    <w:rsid w:val="00BC36F3"/>
    <w:rsid w:val="00BC435D"/>
    <w:rsid w:val="00BC4838"/>
    <w:rsid w:val="00BC4DB4"/>
    <w:rsid w:val="00BD0587"/>
    <w:rsid w:val="00BD1C2F"/>
    <w:rsid w:val="00BD3E2E"/>
    <w:rsid w:val="00BD4C8D"/>
    <w:rsid w:val="00BD6473"/>
    <w:rsid w:val="00BD77D7"/>
    <w:rsid w:val="00BD7E81"/>
    <w:rsid w:val="00BD7F60"/>
    <w:rsid w:val="00BE024B"/>
    <w:rsid w:val="00BE18A3"/>
    <w:rsid w:val="00BE3584"/>
    <w:rsid w:val="00BE3DA8"/>
    <w:rsid w:val="00BE5660"/>
    <w:rsid w:val="00BE61C4"/>
    <w:rsid w:val="00BE685E"/>
    <w:rsid w:val="00BE768C"/>
    <w:rsid w:val="00BE7CE9"/>
    <w:rsid w:val="00BF3217"/>
    <w:rsid w:val="00BF512A"/>
    <w:rsid w:val="00BF53FC"/>
    <w:rsid w:val="00BF567F"/>
    <w:rsid w:val="00BF5808"/>
    <w:rsid w:val="00BF5C62"/>
    <w:rsid w:val="00BF5FB6"/>
    <w:rsid w:val="00BF64D6"/>
    <w:rsid w:val="00BF73E8"/>
    <w:rsid w:val="00C0021F"/>
    <w:rsid w:val="00C038B0"/>
    <w:rsid w:val="00C03B43"/>
    <w:rsid w:val="00C04933"/>
    <w:rsid w:val="00C06478"/>
    <w:rsid w:val="00C06AEC"/>
    <w:rsid w:val="00C075D8"/>
    <w:rsid w:val="00C101DB"/>
    <w:rsid w:val="00C10F1D"/>
    <w:rsid w:val="00C12026"/>
    <w:rsid w:val="00C1419C"/>
    <w:rsid w:val="00C16C3E"/>
    <w:rsid w:val="00C17F15"/>
    <w:rsid w:val="00C20784"/>
    <w:rsid w:val="00C217C4"/>
    <w:rsid w:val="00C21E6B"/>
    <w:rsid w:val="00C227A3"/>
    <w:rsid w:val="00C236B3"/>
    <w:rsid w:val="00C24677"/>
    <w:rsid w:val="00C24698"/>
    <w:rsid w:val="00C25262"/>
    <w:rsid w:val="00C2603D"/>
    <w:rsid w:val="00C27707"/>
    <w:rsid w:val="00C30629"/>
    <w:rsid w:val="00C31843"/>
    <w:rsid w:val="00C331BD"/>
    <w:rsid w:val="00C33580"/>
    <w:rsid w:val="00C336AE"/>
    <w:rsid w:val="00C3405F"/>
    <w:rsid w:val="00C356C9"/>
    <w:rsid w:val="00C35A11"/>
    <w:rsid w:val="00C366C8"/>
    <w:rsid w:val="00C36741"/>
    <w:rsid w:val="00C36DD7"/>
    <w:rsid w:val="00C40C96"/>
    <w:rsid w:val="00C40E0E"/>
    <w:rsid w:val="00C4179E"/>
    <w:rsid w:val="00C41C2B"/>
    <w:rsid w:val="00C45292"/>
    <w:rsid w:val="00C46F79"/>
    <w:rsid w:val="00C509C8"/>
    <w:rsid w:val="00C5146C"/>
    <w:rsid w:val="00C514D4"/>
    <w:rsid w:val="00C5162C"/>
    <w:rsid w:val="00C52002"/>
    <w:rsid w:val="00C5302C"/>
    <w:rsid w:val="00C53BC4"/>
    <w:rsid w:val="00C543A4"/>
    <w:rsid w:val="00C557AD"/>
    <w:rsid w:val="00C55F3E"/>
    <w:rsid w:val="00C570A7"/>
    <w:rsid w:val="00C60B09"/>
    <w:rsid w:val="00C60F78"/>
    <w:rsid w:val="00C62A24"/>
    <w:rsid w:val="00C64182"/>
    <w:rsid w:val="00C66381"/>
    <w:rsid w:val="00C67155"/>
    <w:rsid w:val="00C72635"/>
    <w:rsid w:val="00C72C2C"/>
    <w:rsid w:val="00C73BBA"/>
    <w:rsid w:val="00C73DDC"/>
    <w:rsid w:val="00C74342"/>
    <w:rsid w:val="00C74767"/>
    <w:rsid w:val="00C74D2B"/>
    <w:rsid w:val="00C74EEE"/>
    <w:rsid w:val="00C75DAB"/>
    <w:rsid w:val="00C763FC"/>
    <w:rsid w:val="00C776C1"/>
    <w:rsid w:val="00C77F34"/>
    <w:rsid w:val="00C807FF"/>
    <w:rsid w:val="00C80CB3"/>
    <w:rsid w:val="00C83E41"/>
    <w:rsid w:val="00C83FDE"/>
    <w:rsid w:val="00C84CFE"/>
    <w:rsid w:val="00C84D06"/>
    <w:rsid w:val="00C8511E"/>
    <w:rsid w:val="00C86846"/>
    <w:rsid w:val="00C87330"/>
    <w:rsid w:val="00C91407"/>
    <w:rsid w:val="00C91D38"/>
    <w:rsid w:val="00C938FB"/>
    <w:rsid w:val="00C94E70"/>
    <w:rsid w:val="00C95E21"/>
    <w:rsid w:val="00C97C7E"/>
    <w:rsid w:val="00CA05E0"/>
    <w:rsid w:val="00CA0A8C"/>
    <w:rsid w:val="00CA0B2D"/>
    <w:rsid w:val="00CA19C2"/>
    <w:rsid w:val="00CA2FB1"/>
    <w:rsid w:val="00CA333D"/>
    <w:rsid w:val="00CA56D3"/>
    <w:rsid w:val="00CA58D6"/>
    <w:rsid w:val="00CA5B17"/>
    <w:rsid w:val="00CB02D2"/>
    <w:rsid w:val="00CB0BD1"/>
    <w:rsid w:val="00CB17DB"/>
    <w:rsid w:val="00CB27C3"/>
    <w:rsid w:val="00CB29F3"/>
    <w:rsid w:val="00CB4448"/>
    <w:rsid w:val="00CB46BE"/>
    <w:rsid w:val="00CB5249"/>
    <w:rsid w:val="00CB69D6"/>
    <w:rsid w:val="00CB79C3"/>
    <w:rsid w:val="00CB7AA9"/>
    <w:rsid w:val="00CC18F8"/>
    <w:rsid w:val="00CC232D"/>
    <w:rsid w:val="00CC28DF"/>
    <w:rsid w:val="00CC2A09"/>
    <w:rsid w:val="00CC475A"/>
    <w:rsid w:val="00CC4CDA"/>
    <w:rsid w:val="00CC60B5"/>
    <w:rsid w:val="00CD2E26"/>
    <w:rsid w:val="00CD5607"/>
    <w:rsid w:val="00CD6B0E"/>
    <w:rsid w:val="00CD6E2C"/>
    <w:rsid w:val="00CE02BA"/>
    <w:rsid w:val="00CE21D1"/>
    <w:rsid w:val="00CE4101"/>
    <w:rsid w:val="00CF01E3"/>
    <w:rsid w:val="00CF0223"/>
    <w:rsid w:val="00CF0676"/>
    <w:rsid w:val="00CF2C90"/>
    <w:rsid w:val="00CF6AAF"/>
    <w:rsid w:val="00CF7156"/>
    <w:rsid w:val="00CF71E7"/>
    <w:rsid w:val="00CF7818"/>
    <w:rsid w:val="00D01757"/>
    <w:rsid w:val="00D0175B"/>
    <w:rsid w:val="00D041A8"/>
    <w:rsid w:val="00D04309"/>
    <w:rsid w:val="00D04B32"/>
    <w:rsid w:val="00D079E6"/>
    <w:rsid w:val="00D10404"/>
    <w:rsid w:val="00D11A25"/>
    <w:rsid w:val="00D13586"/>
    <w:rsid w:val="00D141B7"/>
    <w:rsid w:val="00D146DF"/>
    <w:rsid w:val="00D14B24"/>
    <w:rsid w:val="00D16487"/>
    <w:rsid w:val="00D17EBD"/>
    <w:rsid w:val="00D2045C"/>
    <w:rsid w:val="00D21516"/>
    <w:rsid w:val="00D26F20"/>
    <w:rsid w:val="00D27520"/>
    <w:rsid w:val="00D27CCE"/>
    <w:rsid w:val="00D310AE"/>
    <w:rsid w:val="00D319B8"/>
    <w:rsid w:val="00D32B46"/>
    <w:rsid w:val="00D349E1"/>
    <w:rsid w:val="00D35E27"/>
    <w:rsid w:val="00D411E9"/>
    <w:rsid w:val="00D41BA1"/>
    <w:rsid w:val="00D435D9"/>
    <w:rsid w:val="00D470F2"/>
    <w:rsid w:val="00D477FA"/>
    <w:rsid w:val="00D5049F"/>
    <w:rsid w:val="00D50A20"/>
    <w:rsid w:val="00D51021"/>
    <w:rsid w:val="00D51B34"/>
    <w:rsid w:val="00D52374"/>
    <w:rsid w:val="00D56273"/>
    <w:rsid w:val="00D57453"/>
    <w:rsid w:val="00D61780"/>
    <w:rsid w:val="00D61BA0"/>
    <w:rsid w:val="00D61E73"/>
    <w:rsid w:val="00D63403"/>
    <w:rsid w:val="00D64527"/>
    <w:rsid w:val="00D654F6"/>
    <w:rsid w:val="00D65AB1"/>
    <w:rsid w:val="00D70649"/>
    <w:rsid w:val="00D70A23"/>
    <w:rsid w:val="00D70E33"/>
    <w:rsid w:val="00D72DB8"/>
    <w:rsid w:val="00D73295"/>
    <w:rsid w:val="00D74F8E"/>
    <w:rsid w:val="00D75B78"/>
    <w:rsid w:val="00D76640"/>
    <w:rsid w:val="00D8051D"/>
    <w:rsid w:val="00D80762"/>
    <w:rsid w:val="00D81E0B"/>
    <w:rsid w:val="00D82FEE"/>
    <w:rsid w:val="00D85933"/>
    <w:rsid w:val="00D87ADC"/>
    <w:rsid w:val="00D92561"/>
    <w:rsid w:val="00D937CC"/>
    <w:rsid w:val="00D95975"/>
    <w:rsid w:val="00D97CC8"/>
    <w:rsid w:val="00DA082D"/>
    <w:rsid w:val="00DA0D3C"/>
    <w:rsid w:val="00DA18D3"/>
    <w:rsid w:val="00DA5ACC"/>
    <w:rsid w:val="00DA61EC"/>
    <w:rsid w:val="00DB554F"/>
    <w:rsid w:val="00DB5DA8"/>
    <w:rsid w:val="00DC1897"/>
    <w:rsid w:val="00DC27F2"/>
    <w:rsid w:val="00DC2DB1"/>
    <w:rsid w:val="00DC2E41"/>
    <w:rsid w:val="00DC3AB9"/>
    <w:rsid w:val="00DC3AFB"/>
    <w:rsid w:val="00DC4B02"/>
    <w:rsid w:val="00DC650A"/>
    <w:rsid w:val="00DC7057"/>
    <w:rsid w:val="00DC707C"/>
    <w:rsid w:val="00DC7787"/>
    <w:rsid w:val="00DC77A3"/>
    <w:rsid w:val="00DC7C0B"/>
    <w:rsid w:val="00DC7F42"/>
    <w:rsid w:val="00DD07BF"/>
    <w:rsid w:val="00DD17AE"/>
    <w:rsid w:val="00DD3CBC"/>
    <w:rsid w:val="00DD3EE8"/>
    <w:rsid w:val="00DD411B"/>
    <w:rsid w:val="00DD411E"/>
    <w:rsid w:val="00DD6AA5"/>
    <w:rsid w:val="00DE07F4"/>
    <w:rsid w:val="00DE1264"/>
    <w:rsid w:val="00DE19F6"/>
    <w:rsid w:val="00DE2309"/>
    <w:rsid w:val="00DE2778"/>
    <w:rsid w:val="00DE3068"/>
    <w:rsid w:val="00DE38E8"/>
    <w:rsid w:val="00DE4326"/>
    <w:rsid w:val="00DE497C"/>
    <w:rsid w:val="00DE4F95"/>
    <w:rsid w:val="00DE6F54"/>
    <w:rsid w:val="00DF298A"/>
    <w:rsid w:val="00DF3FCE"/>
    <w:rsid w:val="00DF40C3"/>
    <w:rsid w:val="00DF5348"/>
    <w:rsid w:val="00E00452"/>
    <w:rsid w:val="00E01EBF"/>
    <w:rsid w:val="00E05055"/>
    <w:rsid w:val="00E054E3"/>
    <w:rsid w:val="00E068B6"/>
    <w:rsid w:val="00E07A57"/>
    <w:rsid w:val="00E07CC9"/>
    <w:rsid w:val="00E1065B"/>
    <w:rsid w:val="00E107DE"/>
    <w:rsid w:val="00E116EB"/>
    <w:rsid w:val="00E118F5"/>
    <w:rsid w:val="00E120D0"/>
    <w:rsid w:val="00E12C5F"/>
    <w:rsid w:val="00E13CC4"/>
    <w:rsid w:val="00E1431C"/>
    <w:rsid w:val="00E14E92"/>
    <w:rsid w:val="00E15D0F"/>
    <w:rsid w:val="00E15D42"/>
    <w:rsid w:val="00E16017"/>
    <w:rsid w:val="00E173F8"/>
    <w:rsid w:val="00E20413"/>
    <w:rsid w:val="00E20B5B"/>
    <w:rsid w:val="00E2321F"/>
    <w:rsid w:val="00E23E15"/>
    <w:rsid w:val="00E24C30"/>
    <w:rsid w:val="00E25DEF"/>
    <w:rsid w:val="00E26410"/>
    <w:rsid w:val="00E26B0A"/>
    <w:rsid w:val="00E273C4"/>
    <w:rsid w:val="00E3150E"/>
    <w:rsid w:val="00E3223B"/>
    <w:rsid w:val="00E32C96"/>
    <w:rsid w:val="00E33A37"/>
    <w:rsid w:val="00E3526D"/>
    <w:rsid w:val="00E356DC"/>
    <w:rsid w:val="00E35A19"/>
    <w:rsid w:val="00E362AE"/>
    <w:rsid w:val="00E362C0"/>
    <w:rsid w:val="00E377CA"/>
    <w:rsid w:val="00E402FE"/>
    <w:rsid w:val="00E40FA7"/>
    <w:rsid w:val="00E42DDD"/>
    <w:rsid w:val="00E43B07"/>
    <w:rsid w:val="00E45B79"/>
    <w:rsid w:val="00E464C5"/>
    <w:rsid w:val="00E50645"/>
    <w:rsid w:val="00E506B8"/>
    <w:rsid w:val="00E52435"/>
    <w:rsid w:val="00E526C1"/>
    <w:rsid w:val="00E526D2"/>
    <w:rsid w:val="00E52BF8"/>
    <w:rsid w:val="00E53B6D"/>
    <w:rsid w:val="00E56110"/>
    <w:rsid w:val="00E56A6F"/>
    <w:rsid w:val="00E56E37"/>
    <w:rsid w:val="00E5709F"/>
    <w:rsid w:val="00E579C8"/>
    <w:rsid w:val="00E57FC7"/>
    <w:rsid w:val="00E61066"/>
    <w:rsid w:val="00E61E74"/>
    <w:rsid w:val="00E61ECA"/>
    <w:rsid w:val="00E62286"/>
    <w:rsid w:val="00E62634"/>
    <w:rsid w:val="00E6275E"/>
    <w:rsid w:val="00E62F71"/>
    <w:rsid w:val="00E62F97"/>
    <w:rsid w:val="00E64516"/>
    <w:rsid w:val="00E645B6"/>
    <w:rsid w:val="00E65212"/>
    <w:rsid w:val="00E654FA"/>
    <w:rsid w:val="00E659E1"/>
    <w:rsid w:val="00E65D8D"/>
    <w:rsid w:val="00E6648D"/>
    <w:rsid w:val="00E66605"/>
    <w:rsid w:val="00E66B0E"/>
    <w:rsid w:val="00E66FB0"/>
    <w:rsid w:val="00E678FA"/>
    <w:rsid w:val="00E67E81"/>
    <w:rsid w:val="00E72862"/>
    <w:rsid w:val="00E72C07"/>
    <w:rsid w:val="00E7329A"/>
    <w:rsid w:val="00E75166"/>
    <w:rsid w:val="00E75303"/>
    <w:rsid w:val="00E7548F"/>
    <w:rsid w:val="00E807B2"/>
    <w:rsid w:val="00E80929"/>
    <w:rsid w:val="00E821CA"/>
    <w:rsid w:val="00E8281D"/>
    <w:rsid w:val="00E82BC5"/>
    <w:rsid w:val="00E82F7E"/>
    <w:rsid w:val="00E8343D"/>
    <w:rsid w:val="00E83838"/>
    <w:rsid w:val="00E83B58"/>
    <w:rsid w:val="00E83CC8"/>
    <w:rsid w:val="00E85485"/>
    <w:rsid w:val="00E85C9F"/>
    <w:rsid w:val="00E867AE"/>
    <w:rsid w:val="00E86943"/>
    <w:rsid w:val="00E86B9C"/>
    <w:rsid w:val="00E879AD"/>
    <w:rsid w:val="00E946EF"/>
    <w:rsid w:val="00E953D7"/>
    <w:rsid w:val="00E961A2"/>
    <w:rsid w:val="00EA0F06"/>
    <w:rsid w:val="00EA2C0A"/>
    <w:rsid w:val="00EA6430"/>
    <w:rsid w:val="00EA744D"/>
    <w:rsid w:val="00EA7FEF"/>
    <w:rsid w:val="00EB063A"/>
    <w:rsid w:val="00EB1A96"/>
    <w:rsid w:val="00EB44D1"/>
    <w:rsid w:val="00EB549F"/>
    <w:rsid w:val="00EB5779"/>
    <w:rsid w:val="00EB5980"/>
    <w:rsid w:val="00EB5A55"/>
    <w:rsid w:val="00EB67B2"/>
    <w:rsid w:val="00EB739F"/>
    <w:rsid w:val="00EB7BD7"/>
    <w:rsid w:val="00EB7F40"/>
    <w:rsid w:val="00EC1E26"/>
    <w:rsid w:val="00EC5DBB"/>
    <w:rsid w:val="00EC647E"/>
    <w:rsid w:val="00EC680D"/>
    <w:rsid w:val="00EC6C4F"/>
    <w:rsid w:val="00ED0332"/>
    <w:rsid w:val="00ED05BD"/>
    <w:rsid w:val="00ED1791"/>
    <w:rsid w:val="00ED5DB5"/>
    <w:rsid w:val="00ED69D6"/>
    <w:rsid w:val="00ED7B4C"/>
    <w:rsid w:val="00ED7C73"/>
    <w:rsid w:val="00EE0722"/>
    <w:rsid w:val="00EE098F"/>
    <w:rsid w:val="00EE1A67"/>
    <w:rsid w:val="00EE3490"/>
    <w:rsid w:val="00EE3B72"/>
    <w:rsid w:val="00EE47C9"/>
    <w:rsid w:val="00EE52CD"/>
    <w:rsid w:val="00EE5606"/>
    <w:rsid w:val="00EE56A9"/>
    <w:rsid w:val="00EE6611"/>
    <w:rsid w:val="00EE7326"/>
    <w:rsid w:val="00EF0968"/>
    <w:rsid w:val="00EF112D"/>
    <w:rsid w:val="00EF113F"/>
    <w:rsid w:val="00EF2404"/>
    <w:rsid w:val="00EF24D6"/>
    <w:rsid w:val="00EF24EB"/>
    <w:rsid w:val="00EF2AED"/>
    <w:rsid w:val="00EF30B0"/>
    <w:rsid w:val="00EF357E"/>
    <w:rsid w:val="00F000DB"/>
    <w:rsid w:val="00F002FF"/>
    <w:rsid w:val="00F00795"/>
    <w:rsid w:val="00F00AD5"/>
    <w:rsid w:val="00F026E2"/>
    <w:rsid w:val="00F02E5E"/>
    <w:rsid w:val="00F06767"/>
    <w:rsid w:val="00F06BF8"/>
    <w:rsid w:val="00F07267"/>
    <w:rsid w:val="00F078BA"/>
    <w:rsid w:val="00F079FA"/>
    <w:rsid w:val="00F07FA4"/>
    <w:rsid w:val="00F10E90"/>
    <w:rsid w:val="00F10ECD"/>
    <w:rsid w:val="00F1271B"/>
    <w:rsid w:val="00F13989"/>
    <w:rsid w:val="00F13CDC"/>
    <w:rsid w:val="00F1677E"/>
    <w:rsid w:val="00F16870"/>
    <w:rsid w:val="00F1692E"/>
    <w:rsid w:val="00F1765B"/>
    <w:rsid w:val="00F17D34"/>
    <w:rsid w:val="00F2042C"/>
    <w:rsid w:val="00F222DD"/>
    <w:rsid w:val="00F224F5"/>
    <w:rsid w:val="00F2456D"/>
    <w:rsid w:val="00F24BA9"/>
    <w:rsid w:val="00F256A9"/>
    <w:rsid w:val="00F269DC"/>
    <w:rsid w:val="00F3140D"/>
    <w:rsid w:val="00F31630"/>
    <w:rsid w:val="00F32E13"/>
    <w:rsid w:val="00F33F2F"/>
    <w:rsid w:val="00F35B27"/>
    <w:rsid w:val="00F370AF"/>
    <w:rsid w:val="00F37EB4"/>
    <w:rsid w:val="00F40858"/>
    <w:rsid w:val="00F41D57"/>
    <w:rsid w:val="00F41FFA"/>
    <w:rsid w:val="00F43740"/>
    <w:rsid w:val="00F44021"/>
    <w:rsid w:val="00F44738"/>
    <w:rsid w:val="00F45A6E"/>
    <w:rsid w:val="00F4768C"/>
    <w:rsid w:val="00F500DB"/>
    <w:rsid w:val="00F50124"/>
    <w:rsid w:val="00F51BAF"/>
    <w:rsid w:val="00F52D88"/>
    <w:rsid w:val="00F53B80"/>
    <w:rsid w:val="00F53CE3"/>
    <w:rsid w:val="00F55A0C"/>
    <w:rsid w:val="00F60032"/>
    <w:rsid w:val="00F603A6"/>
    <w:rsid w:val="00F63176"/>
    <w:rsid w:val="00F639B0"/>
    <w:rsid w:val="00F63D73"/>
    <w:rsid w:val="00F65747"/>
    <w:rsid w:val="00F65772"/>
    <w:rsid w:val="00F66EA5"/>
    <w:rsid w:val="00F67ABC"/>
    <w:rsid w:val="00F72741"/>
    <w:rsid w:val="00F73BFE"/>
    <w:rsid w:val="00F75611"/>
    <w:rsid w:val="00F81CD6"/>
    <w:rsid w:val="00F83CEF"/>
    <w:rsid w:val="00F85CEC"/>
    <w:rsid w:val="00F863A6"/>
    <w:rsid w:val="00F86ADC"/>
    <w:rsid w:val="00F87248"/>
    <w:rsid w:val="00F9096D"/>
    <w:rsid w:val="00F90E03"/>
    <w:rsid w:val="00F9311A"/>
    <w:rsid w:val="00F94033"/>
    <w:rsid w:val="00F95448"/>
    <w:rsid w:val="00F96D03"/>
    <w:rsid w:val="00FA4E04"/>
    <w:rsid w:val="00FA5A6D"/>
    <w:rsid w:val="00FA63EF"/>
    <w:rsid w:val="00FA689F"/>
    <w:rsid w:val="00FA6BB4"/>
    <w:rsid w:val="00FA6DD1"/>
    <w:rsid w:val="00FB006F"/>
    <w:rsid w:val="00FB10CD"/>
    <w:rsid w:val="00FB21A3"/>
    <w:rsid w:val="00FB33C7"/>
    <w:rsid w:val="00FB3D41"/>
    <w:rsid w:val="00FB439C"/>
    <w:rsid w:val="00FB5762"/>
    <w:rsid w:val="00FB5DBD"/>
    <w:rsid w:val="00FB5EDD"/>
    <w:rsid w:val="00FC0F52"/>
    <w:rsid w:val="00FC3232"/>
    <w:rsid w:val="00FC5DC4"/>
    <w:rsid w:val="00FC5E71"/>
    <w:rsid w:val="00FC617B"/>
    <w:rsid w:val="00FD0B3A"/>
    <w:rsid w:val="00FD1076"/>
    <w:rsid w:val="00FD1B99"/>
    <w:rsid w:val="00FD3530"/>
    <w:rsid w:val="00FD5F88"/>
    <w:rsid w:val="00FD6A62"/>
    <w:rsid w:val="00FD74FE"/>
    <w:rsid w:val="00FE04EA"/>
    <w:rsid w:val="00FE073B"/>
    <w:rsid w:val="00FE12C5"/>
    <w:rsid w:val="00FE1590"/>
    <w:rsid w:val="00FE2432"/>
    <w:rsid w:val="00FE2DF0"/>
    <w:rsid w:val="00FE2F91"/>
    <w:rsid w:val="00FE343F"/>
    <w:rsid w:val="00FE3877"/>
    <w:rsid w:val="00FE56AA"/>
    <w:rsid w:val="00FE74A9"/>
    <w:rsid w:val="00FE79A5"/>
    <w:rsid w:val="00FE79CF"/>
    <w:rsid w:val="00FF0698"/>
    <w:rsid w:val="00FF14CB"/>
    <w:rsid w:val="00FF189E"/>
    <w:rsid w:val="00FF1C17"/>
    <w:rsid w:val="00FF2B96"/>
    <w:rsid w:val="00FF335E"/>
    <w:rsid w:val="00FF58C9"/>
    <w:rsid w:val="00FF5EEB"/>
    <w:rsid w:val="00FF617F"/>
    <w:rsid w:val="00FF7E84"/>
    <w:rsid w:val="00FF7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7E4EB"/>
  <w15:chartTrackingRefBased/>
  <w15:docId w15:val="{C6EBCBA0-FF07-4065-8B89-18607158A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6B2"/>
    <w:pPr>
      <w:ind w:left="720"/>
      <w:contextualSpacing/>
    </w:pPr>
  </w:style>
  <w:style w:type="paragraph" w:styleId="NormalWeb">
    <w:name w:val="Normal (Web)"/>
    <w:basedOn w:val="Normal"/>
    <w:uiPriority w:val="99"/>
    <w:semiHidden/>
    <w:unhideWhenUsed/>
    <w:rsid w:val="003E7B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7B5D"/>
    <w:rPr>
      <w:b/>
      <w:bCs/>
    </w:rPr>
  </w:style>
  <w:style w:type="character" w:styleId="Emphasis">
    <w:name w:val="Emphasis"/>
    <w:basedOn w:val="DefaultParagraphFont"/>
    <w:uiPriority w:val="20"/>
    <w:qFormat/>
    <w:rsid w:val="003E7B5D"/>
    <w:rPr>
      <w:i/>
      <w:iCs/>
    </w:rPr>
  </w:style>
  <w:style w:type="table" w:styleId="TableGrid">
    <w:name w:val="Table Grid"/>
    <w:basedOn w:val="TableNormal"/>
    <w:uiPriority w:val="39"/>
    <w:rsid w:val="00392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76D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6DEA"/>
    <w:rPr>
      <w:sz w:val="20"/>
      <w:szCs w:val="20"/>
    </w:rPr>
  </w:style>
  <w:style w:type="character" w:styleId="FootnoteReference">
    <w:name w:val="footnote reference"/>
    <w:basedOn w:val="DefaultParagraphFont"/>
    <w:uiPriority w:val="99"/>
    <w:semiHidden/>
    <w:unhideWhenUsed/>
    <w:rsid w:val="00476DEA"/>
    <w:rPr>
      <w:vertAlign w:val="superscript"/>
    </w:rPr>
  </w:style>
  <w:style w:type="paragraph" w:styleId="Header">
    <w:name w:val="header"/>
    <w:basedOn w:val="Normal"/>
    <w:link w:val="HeaderChar"/>
    <w:uiPriority w:val="99"/>
    <w:unhideWhenUsed/>
    <w:rsid w:val="005914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467"/>
  </w:style>
  <w:style w:type="paragraph" w:styleId="Footer">
    <w:name w:val="footer"/>
    <w:basedOn w:val="Normal"/>
    <w:link w:val="FooterChar"/>
    <w:uiPriority w:val="99"/>
    <w:unhideWhenUsed/>
    <w:rsid w:val="005914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5186">
      <w:bodyDiv w:val="1"/>
      <w:marLeft w:val="0"/>
      <w:marRight w:val="0"/>
      <w:marTop w:val="0"/>
      <w:marBottom w:val="0"/>
      <w:divBdr>
        <w:top w:val="none" w:sz="0" w:space="0" w:color="auto"/>
        <w:left w:val="none" w:sz="0" w:space="0" w:color="auto"/>
        <w:bottom w:val="none" w:sz="0" w:space="0" w:color="auto"/>
        <w:right w:val="none" w:sz="0" w:space="0" w:color="auto"/>
      </w:divBdr>
    </w:div>
    <w:div w:id="152456214">
      <w:bodyDiv w:val="1"/>
      <w:marLeft w:val="0"/>
      <w:marRight w:val="0"/>
      <w:marTop w:val="0"/>
      <w:marBottom w:val="0"/>
      <w:divBdr>
        <w:top w:val="none" w:sz="0" w:space="0" w:color="auto"/>
        <w:left w:val="none" w:sz="0" w:space="0" w:color="auto"/>
        <w:bottom w:val="none" w:sz="0" w:space="0" w:color="auto"/>
        <w:right w:val="none" w:sz="0" w:space="0" w:color="auto"/>
      </w:divBdr>
    </w:div>
    <w:div w:id="576599987">
      <w:bodyDiv w:val="1"/>
      <w:marLeft w:val="0"/>
      <w:marRight w:val="0"/>
      <w:marTop w:val="0"/>
      <w:marBottom w:val="0"/>
      <w:divBdr>
        <w:top w:val="none" w:sz="0" w:space="0" w:color="auto"/>
        <w:left w:val="none" w:sz="0" w:space="0" w:color="auto"/>
        <w:bottom w:val="none" w:sz="0" w:space="0" w:color="auto"/>
        <w:right w:val="none" w:sz="0" w:space="0" w:color="auto"/>
      </w:divBdr>
    </w:div>
    <w:div w:id="816461864">
      <w:bodyDiv w:val="1"/>
      <w:marLeft w:val="0"/>
      <w:marRight w:val="0"/>
      <w:marTop w:val="0"/>
      <w:marBottom w:val="0"/>
      <w:divBdr>
        <w:top w:val="none" w:sz="0" w:space="0" w:color="auto"/>
        <w:left w:val="none" w:sz="0" w:space="0" w:color="auto"/>
        <w:bottom w:val="none" w:sz="0" w:space="0" w:color="auto"/>
        <w:right w:val="none" w:sz="0" w:space="0" w:color="auto"/>
      </w:divBdr>
    </w:div>
    <w:div w:id="1020667659">
      <w:bodyDiv w:val="1"/>
      <w:marLeft w:val="0"/>
      <w:marRight w:val="0"/>
      <w:marTop w:val="0"/>
      <w:marBottom w:val="0"/>
      <w:divBdr>
        <w:top w:val="none" w:sz="0" w:space="0" w:color="auto"/>
        <w:left w:val="none" w:sz="0" w:space="0" w:color="auto"/>
        <w:bottom w:val="none" w:sz="0" w:space="0" w:color="auto"/>
        <w:right w:val="none" w:sz="0" w:space="0" w:color="auto"/>
      </w:divBdr>
      <w:divsChild>
        <w:div w:id="73015123">
          <w:marLeft w:val="0"/>
          <w:marRight w:val="0"/>
          <w:marTop w:val="0"/>
          <w:marBottom w:val="0"/>
          <w:divBdr>
            <w:top w:val="none" w:sz="0" w:space="0" w:color="auto"/>
            <w:left w:val="none" w:sz="0" w:space="0" w:color="auto"/>
            <w:bottom w:val="none" w:sz="0" w:space="0" w:color="auto"/>
            <w:right w:val="none" w:sz="0" w:space="0" w:color="auto"/>
          </w:divBdr>
          <w:divsChild>
            <w:div w:id="1686249074">
              <w:marLeft w:val="0"/>
              <w:marRight w:val="0"/>
              <w:marTop w:val="0"/>
              <w:marBottom w:val="0"/>
              <w:divBdr>
                <w:top w:val="none" w:sz="0" w:space="0" w:color="auto"/>
                <w:left w:val="none" w:sz="0" w:space="0" w:color="auto"/>
                <w:bottom w:val="none" w:sz="0" w:space="0" w:color="auto"/>
                <w:right w:val="none" w:sz="0" w:space="0" w:color="auto"/>
              </w:divBdr>
              <w:divsChild>
                <w:div w:id="125135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588051">
      <w:bodyDiv w:val="1"/>
      <w:marLeft w:val="0"/>
      <w:marRight w:val="0"/>
      <w:marTop w:val="0"/>
      <w:marBottom w:val="0"/>
      <w:divBdr>
        <w:top w:val="none" w:sz="0" w:space="0" w:color="auto"/>
        <w:left w:val="none" w:sz="0" w:space="0" w:color="auto"/>
        <w:bottom w:val="none" w:sz="0" w:space="0" w:color="auto"/>
        <w:right w:val="none" w:sz="0" w:space="0" w:color="auto"/>
      </w:divBdr>
    </w:div>
    <w:div w:id="184504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t-prod-fs\Library\Survey%20DATA%20-%20ALL\2021-2022%20Reports\Age%20of%20Collection%20-as%20of%206-30-202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5955235811350916E-2"/>
          <c:y val="0.14534821779440232"/>
          <c:w val="0.90887290167865709"/>
          <c:h val="0.82014777727645416"/>
        </c:manualLayout>
      </c:layout>
      <c:pie3DChart>
        <c:varyColors val="1"/>
        <c:ser>
          <c:idx val="1"/>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565-4B46-8596-3888BF07F383}"/>
              </c:ext>
            </c:extLst>
          </c:dPt>
          <c:dPt>
            <c:idx val="1"/>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3-7565-4B46-8596-3888BF07F383}"/>
              </c:ext>
            </c:extLst>
          </c:dPt>
          <c:dPt>
            <c:idx val="2"/>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5-7565-4B46-8596-3888BF07F383}"/>
              </c:ext>
            </c:extLst>
          </c:dPt>
          <c:dPt>
            <c:idx val="3"/>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7565-4B46-8596-3888BF07F383}"/>
              </c:ext>
            </c:extLst>
          </c:dPt>
          <c:dPt>
            <c:idx val="4"/>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9-7565-4B46-8596-3888BF07F383}"/>
              </c:ext>
            </c:extLst>
          </c:dPt>
          <c:dPt>
            <c:idx val="5"/>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B-7565-4B46-8596-3888BF07F383}"/>
              </c:ext>
            </c:extLst>
          </c:dPt>
          <c:dPt>
            <c:idx val="6"/>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7565-4B46-8596-3888BF07F383}"/>
              </c:ext>
            </c:extLst>
          </c:dPt>
          <c:dPt>
            <c:idx val="7"/>
            <c:bubble3D val="0"/>
            <c:spPr>
              <a:solidFill>
                <a:schemeClr val="accent3">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7565-4B46-8596-3888BF07F383}"/>
              </c:ext>
            </c:extLst>
          </c:dPt>
          <c:dPt>
            <c:idx val="8"/>
            <c:bubble3D val="0"/>
            <c:spPr>
              <a:solidFill>
                <a:schemeClr val="accent5">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7565-4B46-8596-3888BF07F383}"/>
              </c:ext>
            </c:extLst>
          </c:dPt>
          <c:dPt>
            <c:idx val="9"/>
            <c:bubble3D val="0"/>
            <c:spPr>
              <a:solidFill>
                <a:schemeClr val="accent1">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7565-4B46-8596-3888BF07F383}"/>
              </c:ext>
            </c:extLst>
          </c:dPt>
          <c:dLbls>
            <c:dLbl>
              <c:idx val="0"/>
              <c:layout>
                <c:manualLayout>
                  <c:x val="1.6366219647456871E-2"/>
                  <c:y val="1.615018445697974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565-4B46-8596-3888BF07F383}"/>
                </c:ext>
              </c:extLst>
            </c:dLbl>
            <c:dLbl>
              <c:idx val="1"/>
              <c:layout>
                <c:manualLayout>
                  <c:x val="6.3485894298137063E-3"/>
                  <c:y val="-3.57353402295393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565-4B46-8596-3888BF07F383}"/>
                </c:ext>
              </c:extLst>
            </c:dLbl>
            <c:dLbl>
              <c:idx val="2"/>
              <c:layout>
                <c:manualLayout>
                  <c:x val="1.8199762282335172E-3"/>
                  <c:y val="-1.184352192846337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565-4B46-8596-3888BF07F383}"/>
                </c:ext>
              </c:extLst>
            </c:dLbl>
            <c:dLbl>
              <c:idx val="3"/>
              <c:layout>
                <c:manualLayout>
                  <c:x val="1.5668588574274434E-2"/>
                  <c:y val="-8.328220638064369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565-4B46-8596-3888BF07F383}"/>
                </c:ext>
              </c:extLst>
            </c:dLbl>
            <c:dLbl>
              <c:idx val="4"/>
              <c:layout>
                <c:manualLayout>
                  <c:x val="5.3752669740496639E-2"/>
                  <c:y val="-2.673646328938148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7565-4B46-8596-3888BF07F383}"/>
                </c:ext>
              </c:extLst>
            </c:dLbl>
            <c:dLbl>
              <c:idx val="5"/>
              <c:layout>
                <c:manualLayout>
                  <c:x val="-2.0387864788147143E-2"/>
                  <c:y val="-8.416189659530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7565-4B46-8596-3888BF07F383}"/>
                </c:ext>
              </c:extLst>
            </c:dLbl>
            <c:dLbl>
              <c:idx val="6"/>
              <c:layout>
                <c:manualLayout>
                  <c:x val="6.7140268700405462E-3"/>
                  <c:y val="-1.116860615795148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7565-4B46-8596-3888BF07F383}"/>
                </c:ext>
              </c:extLst>
            </c:dLbl>
            <c:dLbl>
              <c:idx val="7"/>
              <c:layout>
                <c:manualLayout>
                  <c:x val="-3.4873364927172232E-2"/>
                  <c:y val="3.1940013886266878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7565-4B46-8596-3888BF07F383}"/>
                </c:ext>
              </c:extLst>
            </c:dLbl>
            <c:dLbl>
              <c:idx val="8"/>
              <c:layout>
                <c:manualLayout>
                  <c:x val="-3.0464527207672964E-3"/>
                  <c:y val="3.6343464335650737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7565-4B46-8596-3888BF07F383}"/>
                </c:ext>
              </c:extLst>
            </c:dLbl>
            <c:dLbl>
              <c:idx val="9"/>
              <c:layout>
                <c:manualLayout>
                  <c:x val="3.2596041909196738E-2"/>
                  <c:y val="3.6343464335650737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3-7565-4B46-8596-3888BF07F38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Sheet2!$A$1:$A$9</c:f>
              <c:strCache>
                <c:ptCount val="9"/>
                <c:pt idx="0">
                  <c:v>Pre- 1970</c:v>
                </c:pt>
                <c:pt idx="1">
                  <c:v>1970-1979</c:v>
                </c:pt>
                <c:pt idx="2">
                  <c:v>1980-1989</c:v>
                </c:pt>
                <c:pt idx="3">
                  <c:v>1990-1999</c:v>
                </c:pt>
                <c:pt idx="4">
                  <c:v>2000-2009</c:v>
                </c:pt>
                <c:pt idx="5">
                  <c:v>2010-2014</c:v>
                </c:pt>
                <c:pt idx="6">
                  <c:v>2015-2019</c:v>
                </c:pt>
                <c:pt idx="7">
                  <c:v>2020</c:v>
                </c:pt>
                <c:pt idx="8">
                  <c:v>2021</c:v>
                </c:pt>
              </c:strCache>
            </c:strRef>
          </c:cat>
          <c:val>
            <c:numRef>
              <c:f>Sheet2!$B$1:$B$10</c:f>
              <c:numCache>
                <c:formatCode>General</c:formatCode>
                <c:ptCount val="10"/>
                <c:pt idx="0">
                  <c:v>2846</c:v>
                </c:pt>
                <c:pt idx="1">
                  <c:v>831</c:v>
                </c:pt>
                <c:pt idx="2">
                  <c:v>660</c:v>
                </c:pt>
                <c:pt idx="3">
                  <c:v>1554</c:v>
                </c:pt>
                <c:pt idx="4">
                  <c:v>4833</c:v>
                </c:pt>
                <c:pt idx="5">
                  <c:v>2799</c:v>
                </c:pt>
                <c:pt idx="6">
                  <c:v>3897</c:v>
                </c:pt>
                <c:pt idx="7">
                  <c:v>390</c:v>
                </c:pt>
                <c:pt idx="8">
                  <c:v>398</c:v>
                </c:pt>
                <c:pt idx="9">
                  <c:v>23</c:v>
                </c:pt>
              </c:numCache>
            </c:numRef>
          </c:val>
          <c:extLst>
            <c:ext xmlns:c16="http://schemas.microsoft.com/office/drawing/2014/chart" uri="{C3380CC4-5D6E-409C-BE32-E72D297353CC}">
              <c16:uniqueId val="{00000014-7565-4B46-8596-3888BF07F383}"/>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8D3DA-61B0-4B86-B8FC-EE46BD89E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964</TotalTime>
  <Pages>8</Pages>
  <Words>2376</Words>
  <Characters>13544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15889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Smith</dc:creator>
  <cp:keywords/>
  <dc:description/>
  <cp:lastModifiedBy>Terri Smith</cp:lastModifiedBy>
  <cp:revision>27</cp:revision>
  <cp:lastPrinted>2023-01-23T16:57:00Z</cp:lastPrinted>
  <dcterms:created xsi:type="dcterms:W3CDTF">2023-01-23T17:50:00Z</dcterms:created>
  <dcterms:modified xsi:type="dcterms:W3CDTF">2023-01-31T17:47:00Z</dcterms:modified>
</cp:coreProperties>
</file>